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rPr>
        <w:t>秦皇岛市市场监督管理局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国标仿宋" w:hAnsi="国标仿宋" w:eastAsia="国标仿宋" w:cs="国标仿宋"/>
          <w:bCs/>
          <w:sz w:val="32"/>
          <w:szCs w:val="32"/>
          <w:lang w:val="en-US" w:eastAsia="zh-CN"/>
        </w:rPr>
      </w:pPr>
      <w:r>
        <w:rPr>
          <w:rFonts w:ascii="Times New Roman" w:hAnsi="Times New Roman" w:eastAsia="仿宋_GB2312" w:cs="仿宋"/>
          <w:color w:val="000000"/>
          <w:sz w:val="32"/>
          <w:szCs w:val="32"/>
        </w:rPr>
        <mc:AlternateContent>
          <mc:Choice Requires="wps">
            <w:drawing>
              <wp:anchor distT="0" distB="0" distL="113665" distR="113665" simplePos="0" relativeHeight="251660288" behindDoc="0" locked="0" layoutInCell="1" allowOverlap="1">
                <wp:simplePos x="0" y="0"/>
                <wp:positionH relativeFrom="column">
                  <wp:posOffset>24765</wp:posOffset>
                </wp:positionH>
                <wp:positionV relativeFrom="paragraph">
                  <wp:posOffset>20801965</wp:posOffset>
                </wp:positionV>
                <wp:extent cx="5761990" cy="1270"/>
                <wp:effectExtent l="0" t="0" r="0" b="0"/>
                <wp:wrapNone/>
                <wp:docPr id="1" name="_x0000_s1026"/>
                <wp:cNvGraphicFramePr/>
                <a:graphic xmlns:a="http://schemas.openxmlformats.org/drawingml/2006/main">
                  <a:graphicData uri="http://schemas.microsoft.com/office/word/2010/wordprocessingShape">
                    <wps:wsp>
                      <wps:cNvCnPr/>
                      <wps:spPr>
                        <a:xfrm>
                          <a:off x="1168336" y="22529770"/>
                          <a:ext cx="5761990" cy="1269"/>
                        </a:xfrm>
                        <a:prstGeom prst="straightConnector1">
                          <a:avLst/>
                        </a:prstGeom>
                        <a:noFill/>
                        <a:ln w="1905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shape id="_x0000_s1026" o:spid="_x0000_s1026" o:spt="32" type="#_x0000_t32" style="position:absolute;left:0pt;margin-left:1.95pt;margin-top:1637.95pt;height:0.1pt;width:453.7pt;z-index:251660288;mso-width-relative:page;mso-height-relative:page;" filled="f" stroked="t" coordsize="21600,21600" o:gfxdata="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10;of7aAAAACwEAAA8AAAAAAAAAAQAgAAAAIgAAAGRycy9kb3ducmV2LnhtbFBLAQIUABQAAAAIAIdO&#10;4kAd7lvaIQIAAD4EAAAOAAAAAAAAAAEAIAAAACkBAABkcnMvZTJvRG9jLnhtbFBLBQYAAAAABgAG&#10;AFkBAAC8BQAAAAA=&#10;">
                <v:fill on="f" focussize="0,0"/>
                <v:stroke weight="1.5pt" color="#000000" joinstyle="miter" endcap="square"/>
                <v:imagedata o:title=""/>
                <o:lock v:ext="edit" aspectratio="f"/>
              </v:shape>
            </w:pict>
          </mc:Fallback>
        </mc:AlternateContent>
      </w:r>
      <w:r>
        <w:rPr>
          <w:rFonts w:hint="eastAsia" w:ascii="Times New Roman" w:hAnsi="Times New Roman" w:eastAsia="仿宋_GB2312" w:cs="仿宋"/>
          <w:color w:val="000000"/>
          <w:sz w:val="32"/>
          <w:szCs w:val="32"/>
        </w:rPr>
        <w:t>秦市监处</w:t>
      </w:r>
      <w:r>
        <w:rPr>
          <w:rFonts w:hint="eastAsia" w:ascii="国标仿宋" w:hAnsi="国标仿宋" w:eastAsia="国标仿宋" w:cs="国标仿宋"/>
          <w:bCs/>
          <w:sz w:val="32"/>
          <w:szCs w:val="32"/>
          <w:lang w:val="en-US" w:eastAsia="zh-CN"/>
        </w:rPr>
        <w:t>罚〔2026〕36号</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当事人：秦皇岛景耀石油有限公司卢龙县龙城路加油加气站</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统一社会信用代码（注册证号）：91130324MA09DE4P4X</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住所(住址)：河北省秦皇岛市卢龙县经济开发区县城工业园龙城路东侧夷齐大街北侧</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法定代表人(负责人、经营者)：魏建升</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outlineLvl w:val="9"/>
        <w:rPr>
          <w:rFonts w:hint="default" w:ascii="仿宋_GB2312" w:eastAsia="仿宋_GB2312" w:cs="仿宋"/>
          <w:sz w:val="32"/>
          <w:szCs w:val="32"/>
          <w:lang w:val="en-US" w:eastAsia="zh-CN"/>
        </w:rPr>
      </w:pPr>
      <w:r>
        <w:rPr>
          <w:rFonts w:hint="eastAsia" w:ascii="仿宋_GB2312" w:eastAsia="仿宋_GB2312" w:cs="仿宋"/>
          <w:sz w:val="32"/>
          <w:szCs w:val="32"/>
          <w:lang w:val="en-US" w:eastAsia="zh-CN"/>
        </w:rPr>
        <w:t>身份证（其他有效证件）号码：350127************</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本案来源于上级交办。2025年12月11日，本局办案部门接到市局质监科线索移送书（秦市监交[2025]15号）：2025年12月1日河北省市场监督管理局组织对当事人销售的车用乙醇汽油进行抽检，被抽检的95号车用乙醇汽油的乙醇含量（体积分数）项目不符合GB18351-2017《车用乙醇汽油（E10）》标准，被判为不合格。</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2025年12月11日，本局执法人员对当事人进行现场检查，当事人现场提供了营业执照、成品油经营许可证、危险化学品经营许可证等资质证明文件。当事人现场陈述已收到省市场监管局的产品质量监督抽查不合格通知书，对检验结果存在异议，提出复检申请。经请示主管局长批准后，执法人员对当事人5号油罐及8、16、18、20、25号加油枪实施了查封的行政强制措施。2025年12月31日，本局收到河北省产品质量监督抽查复检结果通知书及检验报告（编号：SF/20251220001），复检结果乙醇含量（体积分数）项目仍不合格。经主管局长批准，执法人员对当事人95号汽油5号油罐及8、16、18、20、25号加油枪解除查封强制措施，依据河北省市场监督管理局《关于劣质油品罚没处置工作的通知》，本局联系中国石化销售股份有限公司河北秦皇岛石油分公司，现场协助扣押并委托保管当事人5号油罐库存不合格95号车用乙醇汽油2.09吨。经局领导批准，本局于2026年1月9日予以立案。2026年2月28日，本局依法解除扣押强制措施。</w:t>
      </w:r>
      <w:bookmarkStart w:id="2" w:name="_GoBack"/>
      <w:bookmarkEnd w:id="2"/>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经调查，当事人销售不合格95号车用乙醇汽油数量为7246.4升。自2025年12月1日-12月11日查封时，当事人不合格油品已销售数量4451.53升（包括</w:t>
      </w:r>
      <w:r>
        <w:rPr>
          <w:rFonts w:hint="eastAsia" w:ascii="国标仿宋" w:hAnsi="国标仿宋" w:eastAsia="国标仿宋" w:cs="国标仿宋"/>
          <w:sz w:val="32"/>
          <w:szCs w:val="32"/>
          <w:lang w:eastAsia="zh-CN"/>
        </w:rPr>
        <w:t>2025年</w:t>
      </w:r>
      <w:r>
        <w:rPr>
          <w:rFonts w:hint="eastAsia" w:ascii="国标仿宋" w:hAnsi="国标仿宋" w:eastAsia="国标仿宋" w:cs="国标仿宋"/>
          <w:sz w:val="32"/>
          <w:szCs w:val="32"/>
          <w:lang w:val="en-US" w:eastAsia="zh-CN"/>
        </w:rPr>
        <w:t>12</w:t>
      </w:r>
      <w:r>
        <w:rPr>
          <w:rFonts w:hint="eastAsia" w:ascii="国标仿宋" w:hAnsi="国标仿宋" w:eastAsia="国标仿宋" w:cs="国标仿宋"/>
          <w:sz w:val="32"/>
          <w:szCs w:val="32"/>
          <w:lang w:eastAsia="zh-CN"/>
        </w:rPr>
        <w:t>月</w:t>
      </w: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lang w:eastAsia="zh-CN"/>
        </w:rPr>
        <w:t>日进油前库存</w:t>
      </w:r>
      <w:r>
        <w:rPr>
          <w:rFonts w:hint="eastAsia" w:ascii="国标仿宋" w:hAnsi="国标仿宋" w:eastAsia="国标仿宋" w:cs="国标仿宋"/>
          <w:sz w:val="32"/>
          <w:szCs w:val="32"/>
          <w:lang w:val="en-US" w:eastAsia="zh-CN"/>
        </w:rPr>
        <w:t>686.4</w:t>
      </w:r>
      <w:r>
        <w:rPr>
          <w:rFonts w:hint="eastAsia" w:ascii="国标仿宋" w:hAnsi="国标仿宋" w:eastAsia="国标仿宋" w:cs="国标仿宋"/>
          <w:sz w:val="32"/>
          <w:szCs w:val="32"/>
          <w:lang w:eastAsia="zh-CN"/>
        </w:rPr>
        <w:t>升和2025年1</w:t>
      </w:r>
      <w:r>
        <w:rPr>
          <w:rFonts w:hint="eastAsia" w:ascii="国标仿宋" w:hAnsi="国标仿宋" w:eastAsia="国标仿宋" w:cs="国标仿宋"/>
          <w:sz w:val="32"/>
          <w:szCs w:val="32"/>
          <w:lang w:val="en-US" w:eastAsia="zh-CN"/>
        </w:rPr>
        <w:t>2</w:t>
      </w:r>
      <w:r>
        <w:rPr>
          <w:rFonts w:hint="eastAsia" w:ascii="国标仿宋" w:hAnsi="国标仿宋" w:eastAsia="国标仿宋" w:cs="国标仿宋"/>
          <w:sz w:val="32"/>
          <w:szCs w:val="32"/>
          <w:lang w:eastAsia="zh-CN"/>
        </w:rPr>
        <w:t>月</w:t>
      </w: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lang w:eastAsia="zh-CN"/>
        </w:rPr>
        <w:t>日进油中的</w:t>
      </w:r>
      <w:r>
        <w:rPr>
          <w:rFonts w:hint="eastAsia" w:ascii="国标仿宋" w:hAnsi="国标仿宋" w:eastAsia="国标仿宋" w:cs="国标仿宋"/>
          <w:sz w:val="32"/>
          <w:szCs w:val="32"/>
          <w:lang w:val="en-US" w:eastAsia="zh-CN"/>
        </w:rPr>
        <w:t>3765.13升</w:t>
      </w:r>
      <w:r>
        <w:rPr>
          <w:rFonts w:hint="eastAsia" w:ascii="仿宋_GB2312" w:eastAsia="仿宋_GB2312" w:cs="仿宋"/>
          <w:sz w:val="32"/>
          <w:szCs w:val="32"/>
          <w:lang w:val="en-US" w:eastAsia="zh-CN"/>
        </w:rPr>
        <w:t>）。库存油品进价为5.62元/升，新进油品进价为5.3元/升，销售单价6.46元/升，进货款为23812.76元，销售金额是28756.88元。未销售部分即查封扣押数量2.09吨（2794.87升），未销售部分货值金额为18054.86元。故当事人销售不合格车用乙醇汽油的货值为46811.74元。当事人销售不合格油品的违法所得，为</w:t>
      </w:r>
      <w:bookmarkStart w:id="0" w:name="OLE_LINK1"/>
      <w:bookmarkStart w:id="1" w:name="OLE_LINK2"/>
      <w:r>
        <w:rPr>
          <w:rFonts w:hint="eastAsia" w:ascii="仿宋_GB2312" w:eastAsia="仿宋_GB2312" w:cs="仿宋"/>
          <w:sz w:val="32"/>
          <w:szCs w:val="32"/>
          <w:lang w:val="en-US" w:eastAsia="zh-CN"/>
        </w:rPr>
        <w:t>已售出</w:t>
      </w:r>
      <w:bookmarkEnd w:id="0"/>
      <w:bookmarkEnd w:id="1"/>
      <w:r>
        <w:rPr>
          <w:rFonts w:hint="eastAsia" w:ascii="仿宋_GB2312" w:eastAsia="仿宋_GB2312" w:cs="仿宋"/>
          <w:sz w:val="32"/>
          <w:szCs w:val="32"/>
          <w:lang w:val="en-US" w:eastAsia="zh-CN"/>
        </w:rPr>
        <w:t>4451.53升的销售金额28756.88元扣除已售出购进价款23812.76元，即4944.12元。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1、当事人营业执照、危险化学品经营许可证，证明当事人有合法经营资质；</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2、当事人法人魏建升和被委托人赵志红的身份证复印件和授权委托书，证明被委托人的委托权限；</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3、河北省产品质量监督检验研究院的抽样记录及出具的《检验检测报告》（编号：SY202521586），证明抽样过程及被抽检油品不符合国家标准；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4、河北省市场监督管理局的河北省产品质量监督抽查复检结果通知书及山东三方联检检测技术有限公司出具的检验报告（编号：SF/20251220001），证明被抽检油品复检不符合国家标准；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5.现场检查笔录和被委托人的询问笔录，证明执法人员现场发现情况、违法事实及当事人对检验结果无异议；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6.中化国际石油（天津）有限公司的营业执照、危险化学品经营许可证、出具的发票、配送单、检验报告及当事人进卸油台账，证明油品供货商的资质、不合格油品来源及数量情况；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7.当事人购进票据和销售台账，安全设施竣工验收评估报告（20m3油罐）,证明不合格油品的销售数量、货值金额以及违法所得情况；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8.中国石化销售股份有限公司河北秦皇岛石油分公司出具的过磅单，证明扣押不合格油品的数量。</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仿宋"/>
          <w:sz w:val="32"/>
          <w:szCs w:val="32"/>
          <w:lang w:val="en-US" w:eastAsia="zh-CN"/>
        </w:rPr>
      </w:pPr>
      <w:r>
        <w:rPr>
          <w:rFonts w:hint="eastAsia" w:ascii="仿宋_GB2312" w:eastAsia="仿宋_GB2312" w:cs="Mongolian Baiti"/>
          <w:bCs/>
          <w:sz w:val="32"/>
          <w:szCs w:val="32"/>
          <w:lang w:eastAsia="zh-CN"/>
        </w:rPr>
        <w:t xml:space="preserve"> </w:t>
      </w:r>
      <w:r>
        <w:rPr>
          <w:rFonts w:hint="eastAsia" w:ascii="仿宋_GB2312" w:eastAsia="仿宋_GB2312" w:cs="仿宋"/>
          <w:sz w:val="32"/>
          <w:szCs w:val="32"/>
          <w:lang w:val="en-US" w:eastAsia="zh-CN"/>
        </w:rPr>
        <w:t>2026年4月14日，本局依法向</w:t>
      </w:r>
      <w:r>
        <w:rPr>
          <w:rFonts w:hint="eastAsia" w:ascii="仿宋_GB2312" w:eastAsia="仿宋_GB2312" w:cs="Mongolian Baiti"/>
          <w:bCs/>
          <w:sz w:val="32"/>
          <w:szCs w:val="32"/>
          <w:lang w:val="en-US" w:eastAsia="zh-CN"/>
        </w:rPr>
        <w:t>当事人下达了秦市监罚告〔2026〕35号行政处罚告知书，告知当事人拟作出行政处罚决定的事实、理由、依据和处罚内容及依</w:t>
      </w:r>
      <w:r>
        <w:rPr>
          <w:rFonts w:hint="eastAsia" w:ascii="仿宋_GB2312" w:eastAsia="仿宋_GB2312" w:cs="仿宋"/>
          <w:sz w:val="32"/>
          <w:szCs w:val="32"/>
          <w:lang w:val="en-US" w:eastAsia="zh-CN"/>
        </w:rPr>
        <w:t>法享有的陈述、申辩权，并有权要求举行听证。在法定期限内，当事人未提出陈述、申辩，也未要求举行听证。</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仿宋"/>
          <w:sz w:val="32"/>
          <w:szCs w:val="32"/>
          <w:lang w:val="en-US" w:eastAsia="zh-CN"/>
        </w:rPr>
        <w:t>本局认为，当事人销售不符合国家标准的车用乙醇汽油（E95）的行为，违反了《中华人民共和国产品质量法》第十三条第二款“禁</w:t>
      </w:r>
      <w:r>
        <w:rPr>
          <w:rFonts w:hint="eastAsia" w:ascii="仿宋_GB2312" w:eastAsia="仿宋_GB2312" w:cs="Mongolian Baiti"/>
          <w:bCs/>
          <w:sz w:val="32"/>
          <w:szCs w:val="32"/>
          <w:lang w:val="en-US" w:eastAsia="zh-CN"/>
        </w:rPr>
        <w:t>止生产、销售不符合保障人体健康和人身、财产安全的标准和要求的工业产品。具体管理办法由国务院规定”之规定。</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Mongolian Baiti"/>
          <w:bCs/>
          <w:sz w:val="32"/>
          <w:szCs w:val="32"/>
          <w:lang w:val="en-US" w:eastAsia="zh-CN"/>
        </w:rPr>
      </w:pPr>
      <w:r>
        <w:rPr>
          <w:rFonts w:hint="eastAsia" w:ascii="仿宋_GB2312" w:eastAsia="仿宋_GB2312" w:cs="Mongolian Baiti"/>
          <w:bCs/>
          <w:sz w:val="32"/>
          <w:szCs w:val="32"/>
          <w:lang w:val="en-US" w:eastAsia="zh-CN"/>
        </w:rPr>
        <w:t>当事人的违法行为持续时间不足1个月，但58%的涉案产品已对外销售且当事人无法追回，符合《河北省市场监督管理系统行政裁量权基准》35.1中“违法行为持续1个月以下的”的较轻情形和“涉案产品已出售，未能全部追回的”的一般情形。依据《河北省市场监督管理系统行政处罚裁量权适用规则》第六条之规定，综合考量，本局决定给予当事人一般行政处罚。参照《河北省市场监督管理系统行政裁量权基准》35《中华人民共和国产品质量法》序号1，裁量幅度一般的裁量基准“责令停止生产、销售，没收违法生产、销售的产品，并处违法生产、 销售产品货值金额等值以上 1.6倍以上2.4倍以下的罚款；有违法所得的， 并处没收违法所得”进行处理。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仿宋"/>
          <w:sz w:val="32"/>
          <w:szCs w:val="32"/>
          <w:lang w:val="en-US" w:eastAsia="zh-CN"/>
        </w:rPr>
      </w:pPr>
      <w:r>
        <w:rPr>
          <w:rFonts w:hint="eastAsia" w:ascii="仿宋_GB2312" w:eastAsia="仿宋_GB2312" w:cs="Mongolian Baiti"/>
          <w:bCs/>
          <w:sz w:val="32"/>
          <w:szCs w:val="32"/>
          <w:lang w:val="en-US" w:eastAsia="zh-CN"/>
        </w:rPr>
        <w:t>综上所述，当事人销售</w:t>
      </w:r>
      <w:r>
        <w:rPr>
          <w:rFonts w:hint="eastAsia" w:ascii="仿宋_GB2312" w:eastAsia="仿宋_GB2312" w:cs="仿宋"/>
          <w:sz w:val="32"/>
          <w:szCs w:val="32"/>
          <w:lang w:val="en-US" w:eastAsia="zh-CN"/>
        </w:rPr>
        <w:t>不符合国家标准的车用乙醇汽油的行为，依据《中华人民共和国产品质量法》第四十九条“生产、销售不符合保障人体健康和人身、财产安全的国家标准、行业标准的产品的，责令停止销售、销售，没收违法销售、销售的产品，并处违法销售、销售产品（包括已售出和未售出的产品，下同）货值金额等值以上三倍以下的罚款；有违法所得的，并处没收违法所得；情节严重的，吊销营业执照；构成犯罪的，依法追究刑事责任”之规定，参照《河北省市场监管行政处罚裁量基准》35《产品质量法》序号1裁量幅度一般，裁量基准“责令停止生产、销售，没收违法生产、销售的产品，并处违法生产、销售产品货值金额一点六倍以上二点四倍以下的罚款；有违法所得的，并处没收违法所得。”之规定，责令当事人立即停止违法行为，本局决定给予当事人以下行政处罚：</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1.没收不符合国家标准的车用乙醇汽油（E95）2.09吨；</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2.没收违法所得4944.12元；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3.处以销售不符合国家标准的车用乙醇汽油（E95）产品货值金额（46811.74元）的1.7倍罚款79579.96元。。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罚没款合计84524.08元。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当事人应接到本处罚决定书之日起十五日内，到秦行金财支行（全称：秦皇岛市财政局，账号：634013010000002150）缴纳罚款；逾期不缴纳的，依据《中华人民共和国行政处罚法》第七十二条的规定，本局将每日按罚款数额的百分之三加处罚款，并依法申请人民法院强制执行。</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 w:eastAsia="仿宋"/>
          <w:sz w:val="32"/>
          <w:szCs w:val="32"/>
        </w:rPr>
      </w:pPr>
      <w:r>
        <w:rPr>
          <w:rFonts w:hint="eastAsia" w:ascii="仿宋_GB2312" w:eastAsia="仿宋_GB2312" w:cs="仿宋"/>
          <w:sz w:val="32"/>
          <w:szCs w:val="32"/>
          <w:lang w:val="en-US" w:eastAsia="zh-CN"/>
        </w:rPr>
        <w:t>当事人如对本处罚不服，可在接到本处罚决定书之日起六十日内，向秦皇岛市人民政府申请行政复议，也可以在6个月内依法向海港区人民法院提起诉讼。申请行政复议或者提起行政诉讼期间，行政处罚决定不停止执行。</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30" w:lineRule="exact"/>
        <w:textAlignment w:val="auto"/>
        <w:outlineLvl w:val="9"/>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仿宋"/>
          <w:sz w:val="32"/>
          <w:szCs w:val="32"/>
          <w:lang w:val="en-US" w:eastAsia="zh-CN"/>
        </w:rPr>
      </w:pPr>
      <w:r>
        <w:rPr>
          <w:rFonts w:ascii="仿宋_GB2312" w:eastAsia="仿宋_GB2312" w:cs="华文仿宋"/>
          <w:bCs/>
          <w:sz w:val="32"/>
          <w:szCs w:val="32"/>
        </w:rPr>
        <w:t xml:space="preserve"> </w:t>
      </w:r>
      <w:r>
        <w:rPr>
          <w:rFonts w:hint="eastAsia" w:ascii="仿宋_GB2312" w:eastAsia="仿宋_GB2312" w:cs="华文仿宋"/>
          <w:bCs/>
          <w:sz w:val="32"/>
          <w:szCs w:val="32"/>
          <w:lang w:val="en-US" w:eastAsia="zh-CN"/>
        </w:rPr>
        <w:t xml:space="preserve">                      </w:t>
      </w:r>
      <w:r>
        <w:rPr>
          <w:rFonts w:hint="eastAsia" w:ascii="仿宋_GB2312" w:eastAsia="仿宋_GB2312" w:cs="仿宋"/>
          <w:sz w:val="32"/>
          <w:szCs w:val="32"/>
          <w:lang w:val="en-US" w:eastAsia="zh-CN"/>
        </w:rPr>
        <w:t>秦皇岛市市场监督管理局</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 xml:space="preserve">                         　2026年5月8日</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宋体" w:cs="宋体"/>
          <w:b/>
          <w:bCs/>
          <w:color w:val="000000"/>
          <w:sz w:val="32"/>
          <w:szCs w:val="32"/>
        </w:rPr>
      </w:pPr>
      <w:r>
        <w:rPr>
          <w:rFonts w:ascii="仿宋_GB2312" w:eastAsia="仿宋_GB2312" w:cs="华文仿宋"/>
          <w:bCs/>
          <w:sz w:val="32"/>
          <w:szCs w:val="32"/>
        </w:rPr>
        <w:t xml:space="preserve">                 </w:t>
      </w:r>
      <w:r>
        <w:rPr>
          <w:rFonts w:hint="eastAsia" w:ascii="仿宋_GB2312" w:eastAsia="仿宋_GB2312" w:cs="华文仿宋"/>
          <w:bCs/>
          <w:sz w:val="32"/>
          <w:szCs w:val="32"/>
        </w:rPr>
        <w:t xml:space="preserve">　 </w:t>
      </w:r>
    </w:p>
    <w:p>
      <w:pPr>
        <w:keepNext w:val="0"/>
        <w:keepLines w:val="0"/>
        <w:pageBreakBefore w:val="0"/>
        <w:widowControl w:val="0"/>
        <w:kinsoku/>
        <w:wordWrap w:val="0"/>
        <w:overflowPunct/>
        <w:topLinePunct w:val="0"/>
        <w:autoSpaceDE/>
        <w:autoSpaceDN/>
        <w:bidi w:val="0"/>
        <w:adjustRightInd/>
        <w:snapToGrid w:val="0"/>
        <w:spacing w:line="550" w:lineRule="exact"/>
        <w:ind w:left="-199" w:leftChars="-95" w:right="-313" w:rightChars="-149" w:firstLine="199" w:firstLineChars="62"/>
        <w:jc w:val="both"/>
        <w:textAlignment w:val="auto"/>
        <w:rPr>
          <w:rFonts w:ascii="Times New Roman" w:hAnsi="Times New Roman" w:eastAsia="仿宋_GB2312" w:cs="仿宋"/>
          <w:color w:val="000000"/>
          <w:sz w:val="32"/>
          <w:szCs w:val="32"/>
        </w:rPr>
      </w:pPr>
      <w:r>
        <w:rPr>
          <w:rFonts w:hint="eastAsia" w:ascii="宋体" w:cs="宋体"/>
          <w:b/>
          <w:bCs/>
          <w:color w:val="000000"/>
          <w:sz w:val="32"/>
          <w:szCs w:val="32"/>
        </w:rPr>
        <w:t>（市场监督管理部门将依法向社会进行公示本行政处罚信息）</w:t>
      </w:r>
    </w:p>
    <w:p>
      <w:pPr>
        <w:keepNext w:val="0"/>
        <w:keepLines w:val="0"/>
        <w:pageBreakBefore w:val="0"/>
        <w:widowControl w:val="0"/>
        <w:kinsoku/>
        <w:wordWrap w:val="0"/>
        <w:overflowPunct/>
        <w:topLinePunct w:val="0"/>
        <w:autoSpaceDE/>
        <w:autoSpaceDN/>
        <w:bidi w:val="0"/>
        <w:adjustRightInd/>
        <w:spacing w:line="550" w:lineRule="exact"/>
        <w:jc w:val="both"/>
        <w:textAlignment w:val="auto"/>
        <w:rPr>
          <w:rFonts w:hint="eastAsia" w:ascii="Times New Roman" w:hAnsi="Times New Roman" w:eastAsia="仿宋_GB2312" w:cs="仿宋"/>
          <w:color w:val="000000"/>
          <w:sz w:val="32"/>
          <w:szCs w:val="32"/>
        </w:rPr>
      </w:pPr>
      <w:r>
        <w:rPr>
          <w:rFonts w:ascii="Times New Roman" w:hAnsi="Times New Roman" w:eastAsia="仿宋_GB2312"/>
          <w:color w:val="000000"/>
          <w:sz w:val="32"/>
        </w:rPr>
        <mc:AlternateContent>
          <mc:Choice Requires="wps">
            <w:drawing>
              <wp:anchor distT="0" distB="0" distL="113665" distR="113665" simplePos="0" relativeHeight="251660288" behindDoc="0" locked="0" layoutInCell="1" allowOverlap="1">
                <wp:simplePos x="0" y="0"/>
                <wp:positionH relativeFrom="column">
                  <wp:posOffset>27940</wp:posOffset>
                </wp:positionH>
                <wp:positionV relativeFrom="paragraph">
                  <wp:posOffset>172085</wp:posOffset>
                </wp:positionV>
                <wp:extent cx="5550535" cy="635"/>
                <wp:effectExtent l="0" t="0" r="0" b="0"/>
                <wp:wrapNone/>
                <wp:docPr id="3" name="_x0000_s1028"/>
                <wp:cNvGraphicFramePr/>
                <a:graphic xmlns:a="http://schemas.openxmlformats.org/drawingml/2006/main">
                  <a:graphicData uri="http://schemas.microsoft.com/office/word/2010/wordprocessingShape">
                    <wps:wsp>
                      <wps:cNvCnPr/>
                      <wps:spPr>
                        <a:xfrm>
                          <a:off x="0" y="0"/>
                          <a:ext cx="5550535" cy="952"/>
                        </a:xfrm>
                        <a:prstGeom prst="line">
                          <a:avLst/>
                        </a:prstGeom>
                        <a:noFill/>
                        <a:ln w="158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8" o:spid="_x0000_s1026" o:spt="20" style="position:absolute;left:0pt;margin-left:2.2pt;margin-top:13.55pt;height:0.05pt;width:437.05pt;z-index:251660288;mso-width-relative:page;mso-height-relative:page;" filled="f" stroked="t" coordsize="21600,21600" o:gfxdata="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8Ko8NUAAAAHAQAADwAAAAAAAAABACAAAAAi&#10;AAAAZHJzL2Rvd25yZXYueG1sUEsBAhQAFAAAAAgAh07iQGO5mKwNAgAAJAQAAA4AAAAAAAAAAQAg&#10;AAAAJAEAAGRycy9lMm9Eb2MueG1sUEsFBgAAAAAGAAYAWQEAAKMFAAAAAA==&#10;">
                <v:fill on="f" focussize="0,0"/>
                <v:stroke weight="1.25pt" color="#000000" joinstyle="miter"/>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_x0000_s1027"/>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0pt;margin-top:1638.35pt;height:0.1pt;width:453.75pt;z-index:251660288;mso-width-relative:page;mso-height-relative:page;" filled="f"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u6xzHaAAAACgEAAA8AAAAAAAAAAQAg&#10;AAAAIgAAAGRycy9kb3ducmV2LnhtbFBLAQIUABQAAAAIAIdO4kBtaJyhDAIAACIEAAAOAAAAAAAA&#10;AAEAIAAAACkBAABkcnMvZTJvRG9jLnhtbFBLBQYAAAAABgAGAFkBAACnBQAAAAA=&#10;">
                <v:fill on="f" focussize="0,0"/>
                <v:stroke weight="0.737007874015748pt" color="#000000" joinstyle="miter" endcap="square"/>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550" w:lineRule="exact"/>
        <w:jc w:val="both"/>
        <w:textAlignment w:val="auto"/>
        <w:rPr>
          <w:sz w:val="28"/>
          <w:szCs w:val="28"/>
        </w:rPr>
      </w:pPr>
      <w:r>
        <w:rPr>
          <w:rFonts w:ascii="Times New Roman" w:hAnsi="Times New Roman" w:eastAsia="仿宋_GB2312" w:cs="仿宋"/>
          <w:bCs/>
          <w:color w:val="000000"/>
          <w:sz w:val="28"/>
          <w:szCs w:val="28"/>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线 54"/>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54" o:spid="_x0000_s1026" o:spt="20" style="position:absolute;left:0pt;margin-left:0pt;margin-top:1638.35pt;height:0.1pt;width:453.75pt;z-index:251660288;mso-width-relative:page;mso-height-relative:page;" filled="f" stroked="t" coordsize="21600,21600" o:gfxdata="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u6xzHaAAAACgEAAA8A&#10;AAAAAAAAAQAgAAAAIgAAAGRycy9kb3ducmV2LnhtbFBLAQIUABQAAAAIAIdO4kBh+5RgFQIAAB8E&#10;AAAOAAAAAAAAAAEAIAAAACkBAABkcnMvZTJvRG9jLnhtbFBLBQYAAAAABgAGAFkBAACwBQAAAAA=&#10;">
                <v:fill on="f" focussize="0,0"/>
                <v:stroke weight="0.737007874015748pt" color="#000000" joinstyle="miter" endcap="square"/>
                <v:imagedata o:title=""/>
                <o:lock v:ext="edit" aspectratio="f"/>
              </v:line>
            </w:pict>
          </mc:Fallback>
        </mc:AlternateContent>
      </w:r>
      <w:r>
        <w:rPr>
          <w:rFonts w:hint="eastAsia" w:ascii="Times New Roman" w:hAnsi="Times New Roman" w:eastAsia="仿宋_GB2312" w:cs="仿宋"/>
          <w:color w:val="000000"/>
          <w:sz w:val="28"/>
          <w:szCs w:val="28"/>
        </w:rPr>
        <w:t>本文书一式</w:t>
      </w:r>
      <w:r>
        <w:rPr>
          <w:rFonts w:hint="eastAsia" w:ascii="Times New Roman" w:hAnsi="Times New Roman" w:eastAsia="仿宋_GB2312" w:cs="仿宋"/>
          <w:color w:val="000000"/>
          <w:sz w:val="28"/>
          <w:szCs w:val="28"/>
          <w:u w:val="single"/>
          <w:lang w:eastAsia="zh-CN"/>
        </w:rPr>
        <w:t>四</w:t>
      </w:r>
      <w:r>
        <w:rPr>
          <w:rFonts w:hint="eastAsia" w:ascii="Times New Roman" w:hAnsi="Times New Roman" w:eastAsia="仿宋_GB2312" w:cs="仿宋"/>
          <w:color w:val="000000"/>
          <w:sz w:val="28"/>
          <w:szCs w:val="28"/>
        </w:rPr>
        <w:t>份，</w:t>
      </w:r>
      <w:r>
        <w:rPr>
          <w:rFonts w:hint="eastAsia" w:ascii="Times New Roman" w:hAnsi="Times New Roman" w:eastAsia="仿宋_GB2312" w:cs="仿宋"/>
          <w:color w:val="000000"/>
          <w:sz w:val="28"/>
          <w:szCs w:val="28"/>
          <w:u w:val="single"/>
        </w:rPr>
        <w:t>一</w:t>
      </w:r>
      <w:r>
        <w:rPr>
          <w:rFonts w:hint="eastAsia" w:ascii="Times New Roman" w:hAnsi="Times New Roman" w:eastAsia="仿宋_GB2312" w:cs="仿宋"/>
          <w:color w:val="000000"/>
          <w:sz w:val="28"/>
          <w:szCs w:val="28"/>
        </w:rPr>
        <w:t>份送达，</w:t>
      </w:r>
      <w:r>
        <w:rPr>
          <w:rFonts w:hint="eastAsia" w:ascii="Times New Roman" w:hAnsi="Times New Roman" w:eastAsia="仿宋_GB2312" w:cs="仿宋"/>
          <w:color w:val="000000"/>
          <w:sz w:val="28"/>
          <w:szCs w:val="28"/>
          <w:u w:val="single"/>
        </w:rPr>
        <w:t>一</w:t>
      </w:r>
      <w:r>
        <w:rPr>
          <w:rFonts w:hint="eastAsia" w:ascii="Times New Roman" w:hAnsi="Times New Roman" w:eastAsia="仿宋_GB2312" w:cs="仿宋"/>
          <w:color w:val="000000"/>
          <w:sz w:val="28"/>
          <w:szCs w:val="28"/>
        </w:rPr>
        <w:t>份归档，</w:t>
      </w:r>
      <w:r>
        <w:rPr>
          <w:rFonts w:hint="eastAsia" w:ascii="Times New Roman" w:hAnsi="Times New Roman" w:eastAsia="仿宋_GB2312" w:cs="仿宋"/>
          <w:color w:val="000000"/>
          <w:sz w:val="28"/>
          <w:szCs w:val="28"/>
          <w:u w:val="single"/>
        </w:rPr>
        <w:t>一</w:t>
      </w:r>
      <w:r>
        <w:rPr>
          <w:rFonts w:hint="eastAsia" w:ascii="Times New Roman" w:hAnsi="Times New Roman" w:eastAsia="仿宋_GB2312" w:cs="仿宋"/>
          <w:color w:val="000000"/>
          <w:sz w:val="28"/>
          <w:szCs w:val="28"/>
          <w:lang w:eastAsia="zh-CN"/>
        </w:rPr>
        <w:t>份财政局，</w:t>
      </w:r>
      <w:r>
        <w:rPr>
          <w:rFonts w:hint="eastAsia" w:ascii="Times New Roman" w:hAnsi="Times New Roman" w:eastAsia="仿宋_GB2312" w:cs="仿宋"/>
          <w:color w:val="000000"/>
          <w:sz w:val="28"/>
          <w:szCs w:val="28"/>
          <w:u w:val="single"/>
        </w:rPr>
        <w:t>一</w:t>
      </w:r>
      <w:r>
        <w:rPr>
          <w:rFonts w:hint="eastAsia" w:ascii="Times New Roman" w:hAnsi="Times New Roman" w:eastAsia="仿宋_GB2312" w:cs="仿宋"/>
          <w:color w:val="000000"/>
          <w:sz w:val="28"/>
          <w:szCs w:val="28"/>
        </w:rPr>
        <w:t>份财务科。</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DF7B1"/>
    <w:multiLevelType w:val="multilevel"/>
    <w:tmpl w:val="F3EDF7B1"/>
    <w:lvl w:ilvl="0" w:tentative="0">
      <w:start w:val="1"/>
      <w:numFmt w:val="none"/>
      <w:pStyle w:val="2"/>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YjkwMjQwMzYwYmM5YjgzODc2YTI3NTM5MGUxM2EifQ=="/>
  </w:docVars>
  <w:rsids>
    <w:rsidRoot w:val="00000000"/>
    <w:rsid w:val="239F0F43"/>
    <w:rsid w:val="2BAA610E"/>
    <w:rsid w:val="2F6336FC"/>
    <w:rsid w:val="47BF1D97"/>
    <w:rsid w:val="54FA4049"/>
    <w:rsid w:val="5ED7A407"/>
    <w:rsid w:val="62AA7296"/>
    <w:rsid w:val="63017D21"/>
    <w:rsid w:val="723729C8"/>
    <w:rsid w:val="77FF68FF"/>
    <w:rsid w:val="7ABDDE6C"/>
    <w:rsid w:val="7BD4F5E4"/>
    <w:rsid w:val="7EF66D07"/>
    <w:rsid w:val="BEFDCB9A"/>
    <w:rsid w:val="BEFFF062"/>
    <w:rsid w:val="CF77D7A3"/>
    <w:rsid w:val="D6660782"/>
    <w:rsid w:val="E75F7CCA"/>
    <w:rsid w:val="EDB7497C"/>
    <w:rsid w:val="EDF8C228"/>
    <w:rsid w:val="EDFF0519"/>
    <w:rsid w:val="FD7D40FF"/>
    <w:rsid w:val="FDD7297E"/>
    <w:rsid w:val="FE7BD4B2"/>
    <w:rsid w:val="FFFA04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val="0"/>
      <w:numPr>
        <w:ilvl w:val="0"/>
        <w:numId w:val="1"/>
      </w:numPr>
      <w:spacing w:before="240" w:after="120"/>
      <w:jc w:val="left"/>
      <w:outlineLvl w:val="0"/>
    </w:pPr>
    <w:rPr>
      <w:rFonts w:ascii="Times New Roman" w:hAnsi="Times New Roman" w:cs="Mangal"/>
      <w:color w:val="00000A"/>
      <w:sz w:val="24"/>
      <w:lang w:val="zh-CN" w:bidi="hi-IN"/>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basedOn w:val="8"/>
    <w:qFormat/>
    <w:uiPriority w:val="0"/>
    <w:rPr>
      <w:color w:val="000000"/>
      <w:u w:val="none"/>
    </w:rPr>
  </w:style>
  <w:style w:type="character" w:styleId="10">
    <w:name w:val="Emphasis"/>
    <w:basedOn w:val="8"/>
    <w:qFormat/>
    <w:uiPriority w:val="0"/>
    <w:rPr>
      <w:i/>
      <w:iCs/>
    </w:rPr>
  </w:style>
  <w:style w:type="character" w:styleId="11">
    <w:name w:val="Hyperlink"/>
    <w:basedOn w:val="8"/>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微软用户</Company>
  <Pages>5</Pages>
  <Words>2610</Words>
  <Characters>2939</Characters>
  <Lines>98</Lines>
  <Paragraphs>35</Paragraphs>
  <TotalTime>19</TotalTime>
  <ScaleCrop>false</ScaleCrop>
  <LinksUpToDate>false</LinksUpToDate>
  <CharactersWithSpaces>3014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2020-11-27T23:45:00Z</dcterms:created>
  <dc:creator>Administrator</dc:creator>
  <cp:lastModifiedBy>娄立达</cp:lastModifiedBy>
  <cp:lastPrinted>2023-03-05T17:13:00Z</cp:lastPrinted>
  <dcterms:modified xsi:type="dcterms:W3CDTF">2026-05-29T03:02:50Z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237E8195E02749B047257C69DD31627D</vt:lpwstr>
  </property>
</Properties>
</file>