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7CD20" w14:textId="1DD0D91E" w:rsidR="00CB780F" w:rsidRPr="00451B49" w:rsidRDefault="00CB780F" w:rsidP="00B40A88">
      <w:pPr>
        <w:pStyle w:val="2"/>
        <w:ind w:leftChars="0" w:left="0" w:firstLineChars="0" w:firstLine="0"/>
        <w:jc w:val="center"/>
        <w:rPr>
          <w:rFonts w:ascii="仿宋" w:eastAsia="仿宋" w:hAnsi="仿宋"/>
          <w:color w:val="000000"/>
          <w:kern w:val="2"/>
          <w:szCs w:val="32"/>
        </w:rPr>
      </w:pPr>
      <w:r w:rsidRPr="00451B49">
        <w:rPr>
          <w:rFonts w:ascii="仿宋" w:eastAsia="仿宋" w:hAnsi="仿宋" w:hint="eastAsia"/>
          <w:color w:val="000000"/>
          <w:kern w:val="2"/>
          <w:szCs w:val="32"/>
        </w:rPr>
        <w:t>秦皇岛市毛绒玩具产品质量监督抽查实施细则</w:t>
      </w:r>
    </w:p>
    <w:p w14:paraId="6B5E3697" w14:textId="297709A9" w:rsidR="00BE27E2" w:rsidRPr="00451B49" w:rsidRDefault="00000000">
      <w:pPr>
        <w:snapToGrid w:val="0"/>
        <w:spacing w:line="440" w:lineRule="exact"/>
        <w:rPr>
          <w:rFonts w:ascii="仿宋" w:eastAsia="仿宋" w:hAnsi="仿宋"/>
          <w:color w:val="000000"/>
          <w:szCs w:val="21"/>
        </w:rPr>
      </w:pPr>
      <w:r w:rsidRPr="00451B49">
        <w:rPr>
          <w:rFonts w:ascii="仿宋" w:eastAsia="仿宋" w:hAnsi="仿宋"/>
          <w:color w:val="000000"/>
          <w:szCs w:val="21"/>
        </w:rPr>
        <w:t>1 抽样方法</w:t>
      </w:r>
    </w:p>
    <w:p w14:paraId="18612A15"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以随机抽样的方式在被抽样生产者、销售者的待销产品中抽取。</w:t>
      </w:r>
    </w:p>
    <w:p w14:paraId="62981868"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随机数一般可使用随机数表等方法产生。</w:t>
      </w:r>
    </w:p>
    <w:p w14:paraId="7FED3122"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每批次产品抽取样品3个，其中2个作为检验样品，1个作为备用样品。</w:t>
      </w:r>
    </w:p>
    <w:p w14:paraId="66D1C1A5" w14:textId="77777777" w:rsidR="00171670" w:rsidRPr="00451B49" w:rsidRDefault="00171670">
      <w:pPr>
        <w:snapToGrid w:val="0"/>
        <w:spacing w:line="440" w:lineRule="exact"/>
        <w:rPr>
          <w:rFonts w:ascii="仿宋" w:eastAsia="仿宋" w:hAnsi="仿宋"/>
          <w:color w:val="000000"/>
          <w:szCs w:val="21"/>
        </w:rPr>
      </w:pPr>
    </w:p>
    <w:p w14:paraId="4982E002" w14:textId="6BC10460" w:rsidR="00BE27E2" w:rsidRPr="00451B49" w:rsidRDefault="00000000">
      <w:pPr>
        <w:snapToGrid w:val="0"/>
        <w:spacing w:line="440" w:lineRule="exact"/>
        <w:rPr>
          <w:rFonts w:ascii="仿宋" w:eastAsia="仿宋" w:hAnsi="仿宋"/>
          <w:color w:val="000000"/>
          <w:szCs w:val="21"/>
        </w:rPr>
      </w:pPr>
      <w:r w:rsidRPr="00451B49">
        <w:rPr>
          <w:rFonts w:ascii="仿宋" w:eastAsia="仿宋" w:hAnsi="仿宋" w:hint="eastAsia"/>
          <w:color w:val="000000"/>
          <w:szCs w:val="21"/>
        </w:rPr>
        <w:t>2 检验依据</w:t>
      </w:r>
    </w:p>
    <w:tbl>
      <w:tblPr>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003"/>
        <w:gridCol w:w="2289"/>
        <w:gridCol w:w="2326"/>
      </w:tblGrid>
      <w:tr w:rsidR="00BE27E2" w:rsidRPr="00451B49" w14:paraId="39B441C2" w14:textId="77777777">
        <w:trPr>
          <w:trHeight w:val="397"/>
        </w:trPr>
        <w:tc>
          <w:tcPr>
            <w:tcW w:w="708" w:type="pct"/>
            <w:vAlign w:val="center"/>
          </w:tcPr>
          <w:p w14:paraId="3CD893E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序号</w:t>
            </w:r>
          </w:p>
        </w:tc>
        <w:tc>
          <w:tcPr>
            <w:tcW w:w="1299" w:type="pct"/>
            <w:vAlign w:val="center"/>
          </w:tcPr>
          <w:p w14:paraId="5BAEE354"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检验项目</w:t>
            </w:r>
          </w:p>
        </w:tc>
        <w:tc>
          <w:tcPr>
            <w:tcW w:w="1484" w:type="pct"/>
            <w:vAlign w:val="center"/>
          </w:tcPr>
          <w:p w14:paraId="5F53E242"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检验依据</w:t>
            </w:r>
          </w:p>
        </w:tc>
        <w:tc>
          <w:tcPr>
            <w:tcW w:w="1508" w:type="pct"/>
            <w:vAlign w:val="center"/>
          </w:tcPr>
          <w:p w14:paraId="301BE88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检验方法</w:t>
            </w:r>
          </w:p>
        </w:tc>
      </w:tr>
      <w:tr w:rsidR="00BE27E2" w:rsidRPr="00451B49" w14:paraId="27FA0267" w14:textId="77777777">
        <w:trPr>
          <w:trHeight w:val="397"/>
        </w:trPr>
        <w:tc>
          <w:tcPr>
            <w:tcW w:w="708" w:type="pct"/>
            <w:vAlign w:val="center"/>
          </w:tcPr>
          <w:p w14:paraId="534B8A9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1</w:t>
            </w:r>
          </w:p>
        </w:tc>
        <w:tc>
          <w:tcPr>
            <w:tcW w:w="1299" w:type="pct"/>
            <w:vAlign w:val="center"/>
          </w:tcPr>
          <w:p w14:paraId="141097E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机械与物理性能</w:t>
            </w:r>
          </w:p>
        </w:tc>
        <w:tc>
          <w:tcPr>
            <w:tcW w:w="1484" w:type="pct"/>
            <w:vAlign w:val="center"/>
          </w:tcPr>
          <w:p w14:paraId="5BA0329D"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2BC285A1"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608D4E19"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 6675.2-2014</w:t>
            </w:r>
          </w:p>
        </w:tc>
      </w:tr>
      <w:tr w:rsidR="00BE27E2" w:rsidRPr="00451B49" w14:paraId="570A4574" w14:textId="77777777">
        <w:trPr>
          <w:trHeight w:val="397"/>
        </w:trPr>
        <w:tc>
          <w:tcPr>
            <w:tcW w:w="708" w:type="pct"/>
            <w:vAlign w:val="center"/>
          </w:tcPr>
          <w:p w14:paraId="3D3B03C8"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2</w:t>
            </w:r>
          </w:p>
        </w:tc>
        <w:tc>
          <w:tcPr>
            <w:tcW w:w="1299" w:type="pct"/>
            <w:vAlign w:val="center"/>
          </w:tcPr>
          <w:p w14:paraId="1C0CEBBF"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燃烧性能</w:t>
            </w:r>
          </w:p>
        </w:tc>
        <w:tc>
          <w:tcPr>
            <w:tcW w:w="1484" w:type="pct"/>
            <w:vAlign w:val="center"/>
          </w:tcPr>
          <w:p w14:paraId="36BCBAEE"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015C0D50"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4377692A"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 6675.</w:t>
            </w:r>
            <w:r w:rsidRPr="00451B49">
              <w:rPr>
                <w:rFonts w:ascii="仿宋" w:eastAsia="仿宋" w:hAnsi="仿宋" w:hint="eastAsia"/>
                <w:color w:val="000000"/>
                <w:szCs w:val="21"/>
              </w:rPr>
              <w:t>3</w:t>
            </w:r>
            <w:r w:rsidRPr="00451B49">
              <w:rPr>
                <w:rFonts w:ascii="仿宋" w:eastAsia="仿宋" w:hAnsi="仿宋"/>
                <w:color w:val="000000"/>
                <w:szCs w:val="21"/>
              </w:rPr>
              <w:t>-2014</w:t>
            </w:r>
          </w:p>
        </w:tc>
      </w:tr>
      <w:tr w:rsidR="00BE27E2" w:rsidRPr="00451B49" w14:paraId="6922C789" w14:textId="77777777">
        <w:trPr>
          <w:trHeight w:val="397"/>
        </w:trPr>
        <w:tc>
          <w:tcPr>
            <w:tcW w:w="708" w:type="pct"/>
            <w:vAlign w:val="center"/>
          </w:tcPr>
          <w:p w14:paraId="4017463D"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3</w:t>
            </w:r>
          </w:p>
        </w:tc>
        <w:tc>
          <w:tcPr>
            <w:tcW w:w="1299" w:type="pct"/>
            <w:vAlign w:val="center"/>
          </w:tcPr>
          <w:p w14:paraId="57EE567E"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特定元素的迁移</w:t>
            </w:r>
          </w:p>
        </w:tc>
        <w:tc>
          <w:tcPr>
            <w:tcW w:w="1484" w:type="pct"/>
            <w:vAlign w:val="center"/>
          </w:tcPr>
          <w:p w14:paraId="6D7912C9"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58D2A241"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23A76D8F"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 6675.4-2014</w:t>
            </w:r>
          </w:p>
        </w:tc>
      </w:tr>
      <w:tr w:rsidR="00BE27E2" w:rsidRPr="00451B49" w14:paraId="018027ED" w14:textId="77777777">
        <w:trPr>
          <w:trHeight w:val="397"/>
        </w:trPr>
        <w:tc>
          <w:tcPr>
            <w:tcW w:w="708" w:type="pct"/>
            <w:vAlign w:val="center"/>
          </w:tcPr>
          <w:p w14:paraId="764DC2A2"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4</w:t>
            </w:r>
          </w:p>
        </w:tc>
        <w:tc>
          <w:tcPr>
            <w:tcW w:w="1299" w:type="pct"/>
            <w:vAlign w:val="center"/>
          </w:tcPr>
          <w:p w14:paraId="2030C853"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标识和使用说明</w:t>
            </w:r>
          </w:p>
        </w:tc>
        <w:tc>
          <w:tcPr>
            <w:tcW w:w="1484" w:type="pct"/>
            <w:vAlign w:val="center"/>
          </w:tcPr>
          <w:p w14:paraId="0A81DB3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32C39643"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1468548B"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w:t>
            </w:r>
          </w:p>
        </w:tc>
      </w:tr>
      <w:tr w:rsidR="00BE27E2" w:rsidRPr="00451B49" w14:paraId="0EE8245E" w14:textId="77777777">
        <w:trPr>
          <w:trHeight w:val="397"/>
        </w:trPr>
        <w:tc>
          <w:tcPr>
            <w:tcW w:w="708" w:type="pct"/>
            <w:vAlign w:val="center"/>
          </w:tcPr>
          <w:p w14:paraId="2C8850E4"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5</w:t>
            </w:r>
          </w:p>
        </w:tc>
        <w:tc>
          <w:tcPr>
            <w:tcW w:w="1299" w:type="pct"/>
            <w:vAlign w:val="center"/>
          </w:tcPr>
          <w:p w14:paraId="0494119A"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不可拆卸塑料小物件牢度和装配质量</w:t>
            </w:r>
          </w:p>
        </w:tc>
        <w:tc>
          <w:tcPr>
            <w:tcW w:w="1484" w:type="pct"/>
            <w:vAlign w:val="center"/>
          </w:tcPr>
          <w:p w14:paraId="3F73E699"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5C624CC4"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4227E0CE"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w:t>
            </w:r>
          </w:p>
        </w:tc>
      </w:tr>
      <w:tr w:rsidR="00BE27E2" w:rsidRPr="00451B49" w14:paraId="665C6970" w14:textId="77777777">
        <w:trPr>
          <w:trHeight w:val="397"/>
        </w:trPr>
        <w:tc>
          <w:tcPr>
            <w:tcW w:w="708" w:type="pct"/>
            <w:vAlign w:val="center"/>
          </w:tcPr>
          <w:p w14:paraId="7AC7E25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6</w:t>
            </w:r>
          </w:p>
        </w:tc>
        <w:tc>
          <w:tcPr>
            <w:tcW w:w="1299" w:type="pct"/>
            <w:vAlign w:val="center"/>
          </w:tcPr>
          <w:p w14:paraId="61432CA6"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活动关节的装配牢度</w:t>
            </w:r>
          </w:p>
        </w:tc>
        <w:tc>
          <w:tcPr>
            <w:tcW w:w="1484" w:type="pct"/>
            <w:vAlign w:val="center"/>
          </w:tcPr>
          <w:p w14:paraId="6914BEAF"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5BE42C5E"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5B870875"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5.1</w:t>
            </w:r>
          </w:p>
        </w:tc>
      </w:tr>
      <w:tr w:rsidR="00BE27E2" w:rsidRPr="00451B49" w14:paraId="2C0A4760" w14:textId="77777777">
        <w:trPr>
          <w:trHeight w:val="397"/>
        </w:trPr>
        <w:tc>
          <w:tcPr>
            <w:tcW w:w="708" w:type="pct"/>
            <w:vAlign w:val="center"/>
          </w:tcPr>
          <w:p w14:paraId="0245CDF9"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7</w:t>
            </w:r>
          </w:p>
        </w:tc>
        <w:tc>
          <w:tcPr>
            <w:tcW w:w="1299" w:type="pct"/>
            <w:vAlign w:val="center"/>
          </w:tcPr>
          <w:p w14:paraId="4AFB8C98"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缝纫拼缝及布绒材料牢度</w:t>
            </w:r>
          </w:p>
        </w:tc>
        <w:tc>
          <w:tcPr>
            <w:tcW w:w="1484" w:type="pct"/>
            <w:vAlign w:val="center"/>
          </w:tcPr>
          <w:p w14:paraId="2F4D7378"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4953A1AD"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286E56F2"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5.1</w:t>
            </w:r>
          </w:p>
        </w:tc>
      </w:tr>
      <w:tr w:rsidR="00BE27E2" w:rsidRPr="00451B49" w14:paraId="149E83F4" w14:textId="77777777">
        <w:trPr>
          <w:trHeight w:val="397"/>
        </w:trPr>
        <w:tc>
          <w:tcPr>
            <w:tcW w:w="708" w:type="pct"/>
            <w:vAlign w:val="center"/>
          </w:tcPr>
          <w:p w14:paraId="2160EFF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8</w:t>
            </w:r>
          </w:p>
        </w:tc>
        <w:tc>
          <w:tcPr>
            <w:tcW w:w="1299" w:type="pct"/>
            <w:vAlign w:val="center"/>
          </w:tcPr>
          <w:p w14:paraId="1EE2922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涂料附着牢度</w:t>
            </w:r>
          </w:p>
        </w:tc>
        <w:tc>
          <w:tcPr>
            <w:tcW w:w="1484" w:type="pct"/>
            <w:vAlign w:val="center"/>
          </w:tcPr>
          <w:p w14:paraId="750D9737"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256F09E6"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2FDB8C34"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5.3</w:t>
            </w:r>
          </w:p>
        </w:tc>
      </w:tr>
      <w:tr w:rsidR="00BE27E2" w:rsidRPr="00451B49" w14:paraId="098E90E5" w14:textId="77777777">
        <w:trPr>
          <w:trHeight w:val="397"/>
        </w:trPr>
        <w:tc>
          <w:tcPr>
            <w:tcW w:w="708" w:type="pct"/>
            <w:vAlign w:val="center"/>
          </w:tcPr>
          <w:p w14:paraId="2038F20C"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9</w:t>
            </w:r>
          </w:p>
        </w:tc>
        <w:tc>
          <w:tcPr>
            <w:tcW w:w="1299" w:type="pct"/>
            <w:vAlign w:val="center"/>
          </w:tcPr>
          <w:p w14:paraId="43AA77FF"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尺寸</w:t>
            </w:r>
          </w:p>
        </w:tc>
        <w:tc>
          <w:tcPr>
            <w:tcW w:w="1484" w:type="pct"/>
            <w:vAlign w:val="center"/>
          </w:tcPr>
          <w:p w14:paraId="7DCA4FF8"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556AD13B"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7DE9B340"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5.4</w:t>
            </w:r>
          </w:p>
        </w:tc>
      </w:tr>
      <w:tr w:rsidR="00BE27E2" w:rsidRPr="00451B49" w14:paraId="48E3826F" w14:textId="77777777">
        <w:trPr>
          <w:trHeight w:val="397"/>
        </w:trPr>
        <w:tc>
          <w:tcPr>
            <w:tcW w:w="708" w:type="pct"/>
            <w:vAlign w:val="center"/>
          </w:tcPr>
          <w:p w14:paraId="3D59515F"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10</w:t>
            </w:r>
          </w:p>
        </w:tc>
        <w:tc>
          <w:tcPr>
            <w:tcW w:w="1299" w:type="pct"/>
            <w:vAlign w:val="center"/>
          </w:tcPr>
          <w:p w14:paraId="26937B7C"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质量</w:t>
            </w:r>
          </w:p>
        </w:tc>
        <w:tc>
          <w:tcPr>
            <w:tcW w:w="1484" w:type="pct"/>
            <w:vAlign w:val="center"/>
          </w:tcPr>
          <w:p w14:paraId="02F512F3"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0EE4B206"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产品明示质量要求</w:t>
            </w:r>
          </w:p>
        </w:tc>
        <w:tc>
          <w:tcPr>
            <w:tcW w:w="1508" w:type="pct"/>
            <w:vAlign w:val="center"/>
          </w:tcPr>
          <w:p w14:paraId="768E3711" w14:textId="77777777" w:rsidR="00BE27E2" w:rsidRPr="00451B49" w:rsidRDefault="00000000" w:rsidP="00B40A88">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5.4</w:t>
            </w:r>
          </w:p>
        </w:tc>
      </w:tr>
      <w:tr w:rsidR="00BE27E2" w:rsidRPr="00451B49" w14:paraId="567BC96E" w14:textId="77777777">
        <w:trPr>
          <w:trHeight w:val="397"/>
        </w:trPr>
        <w:tc>
          <w:tcPr>
            <w:tcW w:w="708" w:type="pct"/>
            <w:vAlign w:val="center"/>
          </w:tcPr>
          <w:p w14:paraId="5B0FAE85"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11</w:t>
            </w:r>
          </w:p>
        </w:tc>
        <w:tc>
          <w:tcPr>
            <w:tcW w:w="1299" w:type="pct"/>
            <w:vAlign w:val="center"/>
          </w:tcPr>
          <w:p w14:paraId="03A70820" w14:textId="77777777" w:rsidR="00BE27E2" w:rsidRPr="00451B49" w:rsidRDefault="00000000" w:rsidP="00171670">
            <w:pPr>
              <w:snapToGrid w:val="0"/>
              <w:spacing w:line="440" w:lineRule="exact"/>
              <w:jc w:val="center"/>
              <w:rPr>
                <w:rFonts w:ascii="仿宋" w:eastAsia="仿宋" w:hAnsi="仿宋"/>
                <w:color w:val="000000"/>
                <w:szCs w:val="21"/>
              </w:rPr>
            </w:pPr>
            <w:r w:rsidRPr="00451B49">
              <w:rPr>
                <w:rFonts w:ascii="仿宋" w:eastAsia="仿宋" w:hAnsi="仿宋" w:hint="eastAsia"/>
                <w:color w:val="000000"/>
                <w:szCs w:val="21"/>
              </w:rPr>
              <w:t>外观</w:t>
            </w:r>
          </w:p>
        </w:tc>
        <w:tc>
          <w:tcPr>
            <w:tcW w:w="1484" w:type="pct"/>
            <w:vAlign w:val="center"/>
          </w:tcPr>
          <w:p w14:paraId="39EF6501"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w:t>
            </w:r>
          </w:p>
          <w:p w14:paraId="3002A5BD"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产品明示质量要</w:t>
            </w:r>
            <w:r w:rsidRPr="00451B49">
              <w:rPr>
                <w:rFonts w:ascii="仿宋" w:eastAsia="仿宋" w:hAnsi="仿宋" w:hint="eastAsia"/>
                <w:color w:val="000000"/>
                <w:szCs w:val="21"/>
              </w:rPr>
              <w:lastRenderedPageBreak/>
              <w:t>求</w:t>
            </w:r>
          </w:p>
        </w:tc>
        <w:tc>
          <w:tcPr>
            <w:tcW w:w="1508" w:type="pct"/>
            <w:vAlign w:val="center"/>
          </w:tcPr>
          <w:p w14:paraId="709D1D59" w14:textId="77777777" w:rsidR="00BE27E2" w:rsidRPr="00451B49" w:rsidRDefault="00000000" w:rsidP="00171670">
            <w:pPr>
              <w:snapToGrid w:val="0"/>
              <w:spacing w:line="440" w:lineRule="exact"/>
              <w:jc w:val="center"/>
              <w:rPr>
                <w:rFonts w:ascii="仿宋" w:eastAsia="仿宋" w:hAnsi="仿宋"/>
                <w:color w:val="000000"/>
                <w:szCs w:val="21"/>
              </w:rPr>
            </w:pPr>
            <w:r w:rsidRPr="00451B49">
              <w:rPr>
                <w:rFonts w:ascii="仿宋" w:eastAsia="仿宋" w:hAnsi="仿宋"/>
                <w:color w:val="000000"/>
                <w:szCs w:val="21"/>
              </w:rPr>
              <w:lastRenderedPageBreak/>
              <w:t>GB/T</w:t>
            </w:r>
            <w:r w:rsidRPr="00451B49">
              <w:rPr>
                <w:rFonts w:ascii="仿宋" w:eastAsia="仿宋" w:hAnsi="仿宋" w:hint="eastAsia"/>
                <w:color w:val="000000"/>
                <w:szCs w:val="21"/>
              </w:rPr>
              <w:t xml:space="preserve"> 9832-2007 5.4</w:t>
            </w:r>
          </w:p>
        </w:tc>
      </w:tr>
    </w:tbl>
    <w:p w14:paraId="65EB6297"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凡是注日期的文件，其随后所有的修改单（不包括勘误的内容）或修订版不适用于本细则。凡是不注日期的文件，其最新版本适用于本细则。</w:t>
      </w:r>
    </w:p>
    <w:p w14:paraId="25A4C2B8" w14:textId="77777777" w:rsidR="00171670" w:rsidRPr="00451B49" w:rsidRDefault="00171670" w:rsidP="00B40A88">
      <w:pPr>
        <w:snapToGrid w:val="0"/>
        <w:spacing w:line="440" w:lineRule="exact"/>
        <w:ind w:firstLineChars="200" w:firstLine="420"/>
        <w:rPr>
          <w:rFonts w:ascii="仿宋" w:eastAsia="仿宋" w:hAnsi="仿宋"/>
          <w:color w:val="000000"/>
          <w:szCs w:val="21"/>
        </w:rPr>
      </w:pPr>
    </w:p>
    <w:p w14:paraId="12322EB3" w14:textId="17FED101"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3 判定规则</w:t>
      </w:r>
    </w:p>
    <w:p w14:paraId="2A363576"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3.1依据标准</w:t>
      </w:r>
    </w:p>
    <w:p w14:paraId="7CADBEB0"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GB 6675.1-2014 玩具安全 第1部分：基本规范</w:t>
      </w:r>
    </w:p>
    <w:p w14:paraId="30796970"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GB 6675.2-2014 玩具安全 第2部分：机械与物理性能</w:t>
      </w:r>
    </w:p>
    <w:p w14:paraId="3CCEBF23"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GB 6675.3-2014 玩具安全 第3部分：易燃性能</w:t>
      </w:r>
    </w:p>
    <w:p w14:paraId="62876633"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GB 6675.4-2014 玩具安全 第4部分：特定元素的迁移</w:t>
      </w:r>
    </w:p>
    <w:p w14:paraId="7F688D1D"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color w:val="000000"/>
          <w:szCs w:val="21"/>
        </w:rPr>
        <w:t>GB/T</w:t>
      </w:r>
      <w:r w:rsidRPr="00451B49">
        <w:rPr>
          <w:rFonts w:ascii="仿宋" w:eastAsia="仿宋" w:hAnsi="仿宋" w:hint="eastAsia"/>
          <w:color w:val="000000"/>
          <w:szCs w:val="21"/>
        </w:rPr>
        <w:t xml:space="preserve"> 9832-2007 毛绒、布制玩具</w:t>
      </w:r>
    </w:p>
    <w:p w14:paraId="68FA8286"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现行有效的企业标准、团体标准、地方标准及产品明示质量要求</w:t>
      </w:r>
    </w:p>
    <w:p w14:paraId="6D6E4B95"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3.2判定原则</w:t>
      </w:r>
    </w:p>
    <w:p w14:paraId="3B568B77"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经检验，检验项目全部合格，判定为被抽查产品所检项目未发现不合格；检验项目中任一项或一项以上不合格，判定为被抽查产品不合格。</w:t>
      </w:r>
    </w:p>
    <w:p w14:paraId="02312349"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若被检产品明示的质量要求高于本细则中检验项目依据的标准要求时，应按被检产品明示的质量要求判定。</w:t>
      </w:r>
    </w:p>
    <w:p w14:paraId="32234CD6"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若被检产品明示的质量要求低于本细则中检验项目依据的强制性标准要求时，应按照强制性标准要求判定。</w:t>
      </w:r>
    </w:p>
    <w:p w14:paraId="0F4772C2"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若被检产品明示的质量要求低于或包含本细则中检验项目依据的推荐性标准要求时，应以被检产品明示的质量要求判定。</w:t>
      </w:r>
    </w:p>
    <w:p w14:paraId="430A2BC2"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若被检产品明示的质量要求缺少本细则中检验项目依据的强制性标准要求时，应按照强制性标准要求判定。</w:t>
      </w:r>
    </w:p>
    <w:p w14:paraId="783D7C8D" w14:textId="77777777" w:rsidR="00BE27E2" w:rsidRPr="00451B49" w:rsidRDefault="00000000" w:rsidP="00B40A88">
      <w:pPr>
        <w:snapToGrid w:val="0"/>
        <w:spacing w:line="440" w:lineRule="exact"/>
        <w:ind w:firstLineChars="200" w:firstLine="420"/>
        <w:rPr>
          <w:rFonts w:ascii="仿宋" w:eastAsia="仿宋" w:hAnsi="仿宋"/>
          <w:color w:val="000000"/>
          <w:szCs w:val="21"/>
        </w:rPr>
      </w:pPr>
      <w:r w:rsidRPr="00451B49">
        <w:rPr>
          <w:rFonts w:ascii="仿宋" w:eastAsia="仿宋" w:hAnsi="仿宋" w:hint="eastAsia"/>
          <w:color w:val="000000"/>
          <w:szCs w:val="21"/>
        </w:rPr>
        <w:t>若被检产品明示的质量要求缺少本细则中检验项目依据的推荐性标准要求时，该项目不参与判定。</w:t>
      </w:r>
    </w:p>
    <w:sectPr w:rsidR="00BE27E2" w:rsidRPr="00451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73117"/>
    <w:multiLevelType w:val="multilevel"/>
    <w:tmpl w:val="6CE73117"/>
    <w:lvl w:ilvl="0">
      <w:start w:val="1"/>
      <w:numFmt w:val="decimal"/>
      <w:suff w:val="space"/>
      <w:lvlText w:val="%1 "/>
      <w:lvlJc w:val="left"/>
      <w:pPr>
        <w:ind w:left="0" w:firstLine="0"/>
      </w:pPr>
      <w:rPr>
        <w:rFonts w:ascii="黑体" w:eastAsia="黑体" w:hAnsi="黑体" w:hint="eastAsia"/>
        <w:sz w:val="21"/>
      </w:rPr>
    </w:lvl>
    <w:lvl w:ilvl="1">
      <w:start w:val="1"/>
      <w:numFmt w:val="decimal"/>
      <w:pStyle w:val="a"/>
      <w:suff w:val="space"/>
      <w:lvlText w:val="%1.%2 "/>
      <w:lvlJc w:val="left"/>
      <w:pPr>
        <w:ind w:left="0" w:firstLine="0"/>
      </w:pPr>
      <w:rPr>
        <w:rFonts w:ascii="黑体" w:eastAsia="黑体" w:hAnsi="黑体" w:hint="eastAsia"/>
      </w:rPr>
    </w:lvl>
    <w:lvl w:ilvl="2">
      <w:start w:val="1"/>
      <w:numFmt w:val="decimal"/>
      <w:suff w:val="space"/>
      <w:lvlText w:val="%1.%2.%3 "/>
      <w:lvlJc w:val="left"/>
      <w:pPr>
        <w:ind w:left="0" w:firstLine="0"/>
      </w:pPr>
      <w:rPr>
        <w:rFonts w:ascii="黑体" w:eastAsia="黑体" w:hAnsi="黑体" w:hint="eastAsia"/>
      </w:rPr>
    </w:lvl>
    <w:lvl w:ilvl="3">
      <w:start w:val="1"/>
      <w:numFmt w:val="decimal"/>
      <w:suff w:val="space"/>
      <w:lvlText w:val="%1.%2.%3.%4 "/>
      <w:lvlJc w:val="left"/>
      <w:pPr>
        <w:ind w:left="0" w:firstLine="0"/>
      </w:pPr>
      <w:rPr>
        <w:rFonts w:ascii="黑体" w:eastAsia="黑体" w:hAnsi="黑体" w:hint="eastAsia"/>
      </w:rPr>
    </w:lvl>
    <w:lvl w:ilvl="4">
      <w:start w:val="1"/>
      <w:numFmt w:val="decimal"/>
      <w:suff w:val="space"/>
      <w:lvlText w:val="%1.%2.%3.%4.%5 "/>
      <w:lvlJc w:val="left"/>
      <w:pPr>
        <w:ind w:left="0" w:firstLine="0"/>
      </w:pPr>
      <w:rPr>
        <w:rFonts w:ascii="黑体" w:eastAsia="黑体" w:hAnsi="黑体" w:hint="eastAsia"/>
      </w:rPr>
    </w:lvl>
    <w:lvl w:ilvl="5">
      <w:start w:val="1"/>
      <w:numFmt w:val="decimal"/>
      <w:suff w:val="space"/>
      <w:lvlText w:val="%1.%2.%3.%4.%5.%6 "/>
      <w:lvlJc w:val="left"/>
      <w:pPr>
        <w:ind w:left="0" w:firstLine="0"/>
      </w:pPr>
      <w:rPr>
        <w:rFonts w:ascii="黑体" w:eastAsia="黑体" w:hAnsi="黑体"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45922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ZlYTNjODc3MjhkZDdlNzgxOTQ5ODBjMTJjOGQzYTQifQ=="/>
  </w:docVars>
  <w:rsids>
    <w:rsidRoot w:val="33A56A43"/>
    <w:rsid w:val="00171670"/>
    <w:rsid w:val="002C2610"/>
    <w:rsid w:val="00451B49"/>
    <w:rsid w:val="00597F13"/>
    <w:rsid w:val="009847E2"/>
    <w:rsid w:val="00A94293"/>
    <w:rsid w:val="00B40A88"/>
    <w:rsid w:val="00BE27E2"/>
    <w:rsid w:val="00CB780F"/>
    <w:rsid w:val="06744B7A"/>
    <w:rsid w:val="0DF04F15"/>
    <w:rsid w:val="122D092D"/>
    <w:rsid w:val="1E9C061C"/>
    <w:rsid w:val="2CFD2E79"/>
    <w:rsid w:val="33A56A43"/>
    <w:rsid w:val="35E34D13"/>
    <w:rsid w:val="3AA73658"/>
    <w:rsid w:val="3CF16324"/>
    <w:rsid w:val="3DD51755"/>
    <w:rsid w:val="47CE1EFB"/>
    <w:rsid w:val="492968BF"/>
    <w:rsid w:val="51E16A2C"/>
    <w:rsid w:val="52CD23D9"/>
    <w:rsid w:val="5BDF6E01"/>
    <w:rsid w:val="681721EC"/>
    <w:rsid w:val="7F41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4016"/>
  <w15:docId w15:val="{D6004F68-33F9-4F07-AED7-828D3483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semiHidden="1" w:unhideWhenUsed="1" w:qFormat="1"/>
    <w:lsdException w:name="Subtitle" w:qFormat="1"/>
    <w:lsdException w:name="Body Text First Indent 2"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imes New Roman" w:eastAsia="宋体" w:hAnsi="Times New Roman" w:cs="Times New Roman"/>
      <w:kern w:val="2"/>
      <w:sz w:val="21"/>
      <w:szCs w:val="24"/>
    </w:rPr>
  </w:style>
  <w:style w:type="paragraph" w:styleId="1">
    <w:name w:val="heading 1"/>
    <w:basedOn w:val="a0"/>
    <w:next w:val="a0"/>
    <w:qFormat/>
    <w:pPr>
      <w:keepNext/>
      <w:keepLines/>
      <w:spacing w:line="360" w:lineRule="auto"/>
      <w:outlineLvl w:val="0"/>
    </w:pPr>
    <w:rPr>
      <w:rFonts w:ascii="Calibri" w:hAnsi="Calibri" w:cstheme="minorBidi"/>
      <w:b/>
      <w:kern w:val="44"/>
      <w:sz w:val="32"/>
      <w:szCs w:val="22"/>
      <w:lang w:eastAsia="en-US"/>
    </w:rPr>
  </w:style>
  <w:style w:type="paragraph" w:styleId="4">
    <w:name w:val="heading 4"/>
    <w:basedOn w:val="a0"/>
    <w:next w:val="a0"/>
    <w:link w:val="40"/>
    <w:semiHidden/>
    <w:unhideWhenUsed/>
    <w:qFormat/>
    <w:pPr>
      <w:keepNext/>
      <w:keepLines/>
      <w:tabs>
        <w:tab w:val="left" w:pos="864"/>
      </w:tabs>
      <w:adjustRightInd w:val="0"/>
      <w:spacing w:line="360" w:lineRule="auto"/>
      <w:jc w:val="left"/>
      <w:textAlignment w:val="baseline"/>
      <w:outlineLvl w:val="3"/>
    </w:pPr>
    <w:rPr>
      <w:rFonts w:ascii="Arial" w:hAnsi="Arial"/>
      <w:b/>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
    <w:qFormat/>
    <w:pPr>
      <w:autoSpaceDE w:val="0"/>
      <w:autoSpaceDN w:val="0"/>
      <w:adjustRightInd w:val="0"/>
      <w:spacing w:line="360" w:lineRule="auto"/>
    </w:pPr>
    <w:rPr>
      <w:rFonts w:ascii="宋体"/>
      <w:sz w:val="24"/>
      <w:lang w:val="zh-CN"/>
    </w:rPr>
  </w:style>
  <w:style w:type="paragraph" w:customStyle="1" w:styleId="a">
    <w:name w:val="一级条标题"/>
    <w:basedOn w:val="a5"/>
    <w:next w:val="a6"/>
    <w:qFormat/>
    <w:pPr>
      <w:numPr>
        <w:ilvl w:val="1"/>
        <w:numId w:val="1"/>
      </w:numPr>
      <w:spacing w:beforeLines="50" w:before="156" w:afterLines="50" w:after="156"/>
      <w:outlineLvl w:val="2"/>
    </w:pPr>
    <w:rPr>
      <w:rFonts w:hAnsi="Times New Roman"/>
      <w:color w:val="000000"/>
      <w:szCs w:val="21"/>
    </w:rPr>
  </w:style>
  <w:style w:type="paragraph" w:customStyle="1" w:styleId="a5">
    <w:name w:val="章标题"/>
    <w:next w:val="a0"/>
    <w:uiPriority w:val="99"/>
    <w:qFormat/>
    <w:pPr>
      <w:tabs>
        <w:tab w:val="left" w:pos="810"/>
        <w:tab w:val="left" w:pos="1265"/>
      </w:tabs>
      <w:spacing w:before="50" w:after="50"/>
      <w:ind w:left="810" w:hanging="810"/>
      <w:jc w:val="both"/>
      <w:outlineLvl w:val="1"/>
    </w:pPr>
    <w:rPr>
      <w:rFonts w:ascii="黑体" w:eastAsia="黑体" w:hAnsi="Calibri" w:cs="Times New Roman"/>
      <w:kern w:val="2"/>
      <w:sz w:val="21"/>
      <w:szCs w:val="22"/>
    </w:rPr>
  </w:style>
  <w:style w:type="paragraph" w:customStyle="1" w:styleId="a6">
    <w:name w:val="段"/>
    <w:next w:val="a0"/>
    <w:qFormat/>
    <w:pPr>
      <w:autoSpaceDE w:val="0"/>
      <w:autoSpaceDN w:val="0"/>
      <w:ind w:firstLineChars="200" w:firstLine="420"/>
      <w:jc w:val="both"/>
    </w:pPr>
    <w:rPr>
      <w:rFonts w:ascii="宋体" w:eastAsia="宋体" w:hAnsi="Times New Roman" w:cs="Times New Roman"/>
      <w:sz w:val="21"/>
    </w:rPr>
  </w:style>
  <w:style w:type="paragraph" w:styleId="a7">
    <w:name w:val="Document Map"/>
    <w:basedOn w:val="a0"/>
    <w:next w:val="a0"/>
    <w:uiPriority w:val="99"/>
    <w:unhideWhenUsed/>
    <w:qFormat/>
    <w:pPr>
      <w:shd w:val="clear" w:color="auto" w:fill="000080"/>
    </w:pPr>
  </w:style>
  <w:style w:type="paragraph" w:styleId="a8">
    <w:name w:val="Body Text Indent"/>
    <w:basedOn w:val="a0"/>
    <w:link w:val="a9"/>
    <w:semiHidden/>
    <w:unhideWhenUsed/>
    <w:qFormat/>
    <w:pPr>
      <w:ind w:firstLineChars="200" w:firstLine="640"/>
    </w:pPr>
    <w:rPr>
      <w:rFonts w:ascii="仿宋_GB2312" w:eastAsia="仿宋_GB2312"/>
      <w:kern w:val="0"/>
      <w:sz w:val="32"/>
    </w:rPr>
  </w:style>
  <w:style w:type="character" w:customStyle="1" w:styleId="40">
    <w:name w:val="标题 4 字符"/>
    <w:link w:val="4"/>
    <w:qFormat/>
    <w:rPr>
      <w:rFonts w:ascii="Arial" w:eastAsia="宋体" w:hAnsi="Arial" w:cs="Times New Roman"/>
      <w:b/>
      <w:sz w:val="24"/>
      <w:lang w:eastAsia="en-US"/>
    </w:rPr>
  </w:style>
  <w:style w:type="paragraph" w:styleId="2">
    <w:name w:val="Body Text First Indent 2"/>
    <w:basedOn w:val="a8"/>
    <w:next w:val="a0"/>
    <w:link w:val="20"/>
    <w:qFormat/>
    <w:rsid w:val="00B40A88"/>
    <w:pPr>
      <w:spacing w:after="120"/>
      <w:ind w:leftChars="200" w:left="200" w:firstLine="200"/>
    </w:pPr>
  </w:style>
  <w:style w:type="character" w:customStyle="1" w:styleId="a9">
    <w:name w:val="正文文本缩进 字符"/>
    <w:basedOn w:val="a2"/>
    <w:link w:val="a8"/>
    <w:semiHidden/>
    <w:rsid w:val="00B40A88"/>
    <w:rPr>
      <w:rFonts w:ascii="仿宋_GB2312" w:eastAsia="仿宋_GB2312" w:hAnsi="Times New Roman" w:cs="Times New Roman"/>
      <w:sz w:val="32"/>
      <w:szCs w:val="24"/>
    </w:rPr>
  </w:style>
  <w:style w:type="character" w:customStyle="1" w:styleId="20">
    <w:name w:val="正文文本首行缩进 2 字符"/>
    <w:basedOn w:val="a9"/>
    <w:link w:val="2"/>
    <w:rsid w:val="00B40A88"/>
    <w:rPr>
      <w:rFonts w:ascii="仿宋_GB2312"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24942</dc:creator>
  <cp:lastModifiedBy>彪 王</cp:lastModifiedBy>
  <cp:revision>12</cp:revision>
  <dcterms:created xsi:type="dcterms:W3CDTF">2021-09-03T01:40:00Z</dcterms:created>
  <dcterms:modified xsi:type="dcterms:W3CDTF">2024-09-10T08:23:00Z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ACBF0D00125B4328A17AE24CAF84CF29</vt:lpwstr>
  </property>
</Properties>
</file>