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utoSpaceDE/>
        <w:autoSpaceDN/>
        <w:adjustRightInd/>
        <w:snapToGrid/>
        <w:spacing w:line="500" w:lineRule="exact"/>
        <w:jc w:val="center"/>
        <w:textAlignment w:val="auto"/>
        <w:rPr>
          <w:rFonts w:ascii="宋体" w:hAnsi="宋体" w:eastAsia="宋体" w:cs="方正小标宋简体"/>
          <w:snapToGrid/>
          <w:color w:val="000000" w:themeColor="text1"/>
          <w:kern w:val="2"/>
          <w:sz w:val="44"/>
          <w:szCs w:val="44"/>
          <w14:textFill>
            <w14:solidFill>
              <w14:schemeClr w14:val="tx1"/>
            </w14:solidFill>
          </w14:textFill>
        </w:rPr>
      </w:pPr>
      <w:bookmarkStart w:id="0" w:name="OLE_LINK2"/>
      <w:r>
        <w:rPr>
          <w:rFonts w:hint="eastAsia" w:ascii="宋体" w:hAnsi="宋体" w:eastAsia="宋体" w:cs="方正小标宋简体"/>
          <w:bCs/>
          <w:snapToGrid/>
          <w:color w:val="000000" w:themeColor="text1"/>
          <w:kern w:val="2"/>
          <w:sz w:val="44"/>
          <w:szCs w:val="44"/>
          <w14:textFill>
            <w14:solidFill>
              <w14:schemeClr w14:val="tx1"/>
            </w14:solidFill>
          </w14:textFill>
        </w:rPr>
        <w:t>秦皇岛市市场监督管理局</w:t>
      </w:r>
    </w:p>
    <w:p>
      <w:pPr>
        <w:keepNext/>
        <w:widowControl w:val="0"/>
        <w:tabs>
          <w:tab w:val="left" w:pos="0"/>
        </w:tabs>
        <w:kinsoku/>
        <w:autoSpaceDE/>
        <w:autoSpaceDN/>
        <w:adjustRightInd/>
        <w:snapToGrid/>
        <w:spacing w:before="156" w:line="500" w:lineRule="exact"/>
        <w:jc w:val="center"/>
        <w:textAlignment w:val="auto"/>
        <w:outlineLvl w:val="0"/>
        <w:rPr>
          <w:rFonts w:ascii="宋体" w:hAnsi="宋体" w:eastAsia="宋体" w:cs="方正小标宋简体"/>
          <w:snapToGrid/>
          <w:color w:val="000000" w:themeColor="text1"/>
          <w:kern w:val="2"/>
          <w:sz w:val="44"/>
          <w:szCs w:val="44"/>
          <w:lang w:val="zh-CN" w:bidi="hi-IN"/>
          <w14:textFill>
            <w14:solidFill>
              <w14:schemeClr w14:val="tx1"/>
            </w14:solidFill>
          </w14:textFill>
        </w:rPr>
      </w:pPr>
      <w:r>
        <w:rPr>
          <w:rFonts w:hint="eastAsia" w:ascii="宋体" w:hAnsi="宋体" w:eastAsia="宋体" w:cs="方正小标宋简体"/>
          <w:snapToGrid/>
          <w:color w:val="000000" w:themeColor="text1"/>
          <w:kern w:val="2"/>
          <w:sz w:val="44"/>
          <w:szCs w:val="44"/>
          <w:lang w:val="zh-CN" w:bidi="hi-IN"/>
          <w14:textFill>
            <w14:solidFill>
              <w14:schemeClr w14:val="tx1"/>
            </w14:solidFill>
          </w14:textFill>
        </w:rPr>
        <w:t>行政处罚决定书</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 w:hAnsi="仿宋" w:eastAsia="仿宋" w:cs="仿宋"/>
          <w:color w:val="auto"/>
          <w:spacing w:val="-31"/>
          <w:sz w:val="32"/>
          <w:szCs w:val="32"/>
        </w:rPr>
      </w:pPr>
      <w:bookmarkStart w:id="1" w:name="OLE_LINK1"/>
      <w:r>
        <w:rPr>
          <w:rFonts w:hint="eastAsia" w:ascii="仿宋" w:hAnsi="仿宋" w:eastAsia="仿宋" w:cs="Times New Roman"/>
          <w:b/>
          <w:bCs/>
          <w:snapToGrid/>
          <w:color w:val="auto"/>
          <w:kern w:val="2"/>
          <w:sz w:val="28"/>
          <w:szCs w:val="28"/>
          <w:lang w:val="en-US" w:eastAsia="zh-CN" w:bidi="hi-IN"/>
        </w:rPr>
        <w:t>冀市监</w:t>
      </w:r>
      <w:r>
        <w:rPr>
          <w:rFonts w:hint="eastAsia" w:ascii="仿宋" w:hAnsi="仿宋" w:eastAsia="仿宋" w:cs="Times New Roman"/>
          <w:b/>
          <w:bCs/>
          <w:snapToGrid/>
          <w:color w:val="auto"/>
          <w:kern w:val="2"/>
          <w:sz w:val="28"/>
          <w:szCs w:val="28"/>
          <w:lang w:val="zh-CN" w:bidi="hi-IN"/>
        </w:rPr>
        <w:t>秦处</w:t>
      </w:r>
      <w:bookmarkEnd w:id="1"/>
      <w:r>
        <w:rPr>
          <w:rFonts w:hint="eastAsia" w:ascii="仿宋" w:hAnsi="仿宋" w:eastAsia="仿宋" w:cs="Times New Roman"/>
          <w:b/>
          <w:bCs/>
          <w:snapToGrid/>
          <w:color w:val="auto"/>
          <w:kern w:val="2"/>
          <w:sz w:val="28"/>
          <w:szCs w:val="28"/>
          <w:lang w:val="zh-CN" w:bidi="hi-IN"/>
        </w:rPr>
        <w:t>【</w:t>
      </w:r>
      <w:r>
        <w:rPr>
          <w:rFonts w:hint="eastAsia" w:ascii="仿宋" w:hAnsi="仿宋" w:eastAsia="仿宋" w:cs="Times New Roman"/>
          <w:b/>
          <w:bCs/>
          <w:snapToGrid/>
          <w:color w:val="auto"/>
          <w:kern w:val="2"/>
          <w:sz w:val="28"/>
          <w:szCs w:val="28"/>
          <w:lang w:val="en-US" w:eastAsia="zh-CN" w:bidi="hi-IN"/>
        </w:rPr>
        <w:t>2025</w:t>
      </w:r>
      <w:r>
        <w:rPr>
          <w:rFonts w:hint="eastAsia" w:ascii="仿宋" w:hAnsi="仿宋" w:eastAsia="仿宋" w:cs="Times New Roman"/>
          <w:b/>
          <w:bCs/>
          <w:snapToGrid/>
          <w:color w:val="auto"/>
          <w:kern w:val="2"/>
          <w:sz w:val="28"/>
          <w:szCs w:val="28"/>
          <w:lang w:val="zh-CN" w:bidi="hi-IN"/>
        </w:rPr>
        <w:t>】</w:t>
      </w:r>
      <w:r>
        <w:rPr>
          <w:rFonts w:hint="eastAsia" w:ascii="仿宋" w:hAnsi="仿宋" w:eastAsia="仿宋" w:cs="Times New Roman"/>
          <w:b/>
          <w:bCs/>
          <w:snapToGrid/>
          <w:color w:val="auto"/>
          <w:kern w:val="2"/>
          <w:sz w:val="28"/>
          <w:szCs w:val="28"/>
          <w:lang w:val="en-US" w:eastAsia="zh-CN" w:bidi="hi-IN"/>
        </w:rPr>
        <w:t>13039225000047</w:t>
      </w:r>
      <w:r>
        <w:rPr>
          <w:rFonts w:hint="eastAsia" w:ascii="仿宋" w:hAnsi="仿宋" w:eastAsia="仿宋" w:cs="Times New Roman"/>
          <w:b/>
          <w:bCs/>
          <w:snapToGrid/>
          <w:color w:val="auto"/>
          <w:kern w:val="2"/>
          <w:sz w:val="28"/>
          <w:szCs w:val="28"/>
          <w:lang w:val="zh-CN" w:bidi="hi-IN"/>
        </w:rPr>
        <w:t>号</w:t>
      </w:r>
    </w:p>
    <w:p>
      <w:pPr>
        <w:keepNext w:val="0"/>
        <w:keepLines w:val="0"/>
        <w:pageBreakBefore w:val="0"/>
        <w:widowControl/>
        <w:kinsoku/>
        <w:wordWrap/>
        <w:overflowPunct/>
        <w:topLinePunct w:val="0"/>
        <w:autoSpaceDE/>
        <w:autoSpaceDN/>
        <w:bidi w:val="0"/>
        <w:adjustRightInd w:val="0"/>
        <w:snapToGrid w:val="0"/>
        <w:spacing w:after="0" w:line="420" w:lineRule="exact"/>
        <w:contextualSpacing/>
        <w:textAlignment w:val="auto"/>
        <w:rPr>
          <w:rFonts w:hint="default" w:ascii="仿宋" w:hAnsi="仿宋" w:eastAsia="仿宋" w:cs="仿宋"/>
          <w:color w:val="000000"/>
          <w:sz w:val="32"/>
          <w:szCs w:val="32"/>
          <w:lang w:val="en-US"/>
        </w:rPr>
      </w:pPr>
      <w:r>
        <w:rPr>
          <w:rFonts w:hint="eastAsia" w:ascii="仿宋" w:hAnsi="仿宋" w:eastAsia="仿宋" w:cs="仿宋"/>
          <w:color w:val="000000"/>
          <w:sz w:val="32"/>
          <w:szCs w:val="32"/>
        </w:rPr>
        <w:t>当事人：北戴河新区铜涮蒙羊烧烤店</w:t>
      </w:r>
    </w:p>
    <w:p>
      <w:pPr>
        <w:keepNext w:val="0"/>
        <w:keepLines w:val="0"/>
        <w:pageBreakBefore w:val="0"/>
        <w:widowControl/>
        <w:kinsoku/>
        <w:wordWrap/>
        <w:overflowPunct/>
        <w:topLinePunct w:val="0"/>
        <w:autoSpaceDE/>
        <w:autoSpaceDN/>
        <w:bidi w:val="0"/>
        <w:adjustRightInd w:val="0"/>
        <w:snapToGrid w:val="0"/>
        <w:spacing w:after="0" w:line="420" w:lineRule="exact"/>
        <w:contextualSpacing/>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主体资格证照名称：营业执照</w:t>
      </w:r>
    </w:p>
    <w:p>
      <w:pPr>
        <w:keepNext w:val="0"/>
        <w:keepLines w:val="0"/>
        <w:pageBreakBefore w:val="0"/>
        <w:widowControl/>
        <w:kinsoku/>
        <w:wordWrap/>
        <w:overflowPunct/>
        <w:topLinePunct w:val="0"/>
        <w:autoSpaceDE/>
        <w:autoSpaceDN/>
        <w:bidi w:val="0"/>
        <w:adjustRightInd w:val="0"/>
        <w:snapToGrid w:val="0"/>
        <w:spacing w:after="0" w:line="420" w:lineRule="exact"/>
        <w:contextualSpacing/>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统一社会</w:t>
      </w:r>
      <w:r>
        <w:rPr>
          <w:rFonts w:hint="eastAsia" w:ascii="仿宋" w:hAnsi="仿宋" w:eastAsia="仿宋" w:cs="仿宋"/>
          <w:color w:val="000000"/>
          <w:sz w:val="32"/>
          <w:szCs w:val="32"/>
          <w:lang w:eastAsia="zh-CN"/>
        </w:rPr>
        <w:t>信</w:t>
      </w:r>
      <w:r>
        <w:rPr>
          <w:rFonts w:hint="eastAsia" w:ascii="仿宋" w:hAnsi="仿宋" w:eastAsia="仿宋" w:cs="仿宋"/>
          <w:color w:val="000000"/>
          <w:sz w:val="32"/>
          <w:szCs w:val="32"/>
        </w:rPr>
        <w:t>用代码：</w:t>
      </w:r>
      <w:r>
        <w:rPr>
          <w:rFonts w:hint="eastAsia" w:ascii="仿宋" w:hAnsi="仿宋" w:eastAsia="仿宋" w:cs="仿宋"/>
          <w:spacing w:val="-7"/>
          <w:sz w:val="32"/>
          <w:szCs w:val="32"/>
          <w:lang w:val="en-US" w:eastAsia="zh-CN"/>
        </w:rPr>
        <w:t>92130392MADHNHRL1M</w:t>
      </w:r>
    </w:p>
    <w:p>
      <w:pPr>
        <w:keepNext w:val="0"/>
        <w:keepLines w:val="0"/>
        <w:pageBreakBefore w:val="0"/>
        <w:widowControl/>
        <w:kinsoku/>
        <w:wordWrap/>
        <w:overflowPunct/>
        <w:topLinePunct w:val="0"/>
        <w:autoSpaceDE/>
        <w:autoSpaceDN/>
        <w:bidi w:val="0"/>
        <w:adjustRightInd w:val="0"/>
        <w:snapToGrid w:val="0"/>
        <w:spacing w:after="0" w:line="420" w:lineRule="exact"/>
        <w:contextualSpacing/>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类型：个体工商户</w:t>
      </w:r>
    </w:p>
    <w:p>
      <w:pPr>
        <w:keepNext w:val="0"/>
        <w:keepLines w:val="0"/>
        <w:pageBreakBefore w:val="0"/>
        <w:widowControl/>
        <w:kinsoku/>
        <w:wordWrap/>
        <w:overflowPunct/>
        <w:topLinePunct w:val="0"/>
        <w:autoSpaceDE/>
        <w:autoSpaceDN/>
        <w:bidi w:val="0"/>
        <w:adjustRightInd w:val="0"/>
        <w:snapToGrid w:val="0"/>
        <w:spacing w:after="0" w:line="420" w:lineRule="exact"/>
        <w:contextualSpacing/>
        <w:textAlignment w:val="auto"/>
        <w:rPr>
          <w:rFonts w:hint="eastAsia" w:ascii="仿宋" w:hAnsi="仿宋" w:eastAsia="仿宋" w:cs="仿宋"/>
          <w:spacing w:val="-7"/>
          <w:sz w:val="32"/>
          <w:szCs w:val="32"/>
        </w:rPr>
      </w:pPr>
      <w:r>
        <w:rPr>
          <w:rFonts w:hint="eastAsia" w:ascii="仿宋" w:hAnsi="仿宋" w:eastAsia="仿宋" w:cs="仿宋"/>
          <w:color w:val="000000"/>
          <w:sz w:val="32"/>
          <w:szCs w:val="32"/>
        </w:rPr>
        <w:t>经营场所</w:t>
      </w:r>
      <w:r>
        <w:rPr>
          <w:rFonts w:hint="eastAsia" w:ascii="仿宋" w:hAnsi="仿宋" w:eastAsia="仿宋" w:cs="仿宋"/>
          <w:color w:val="000000"/>
          <w:sz w:val="32"/>
          <w:szCs w:val="32"/>
          <w:lang w:eastAsia="zh-CN"/>
        </w:rPr>
        <w:t>：</w:t>
      </w:r>
      <w:r>
        <w:rPr>
          <w:rFonts w:hint="eastAsia" w:ascii="仿宋" w:hAnsi="仿宋" w:eastAsia="仿宋" w:cs="仿宋"/>
          <w:spacing w:val="-7"/>
          <w:sz w:val="32"/>
          <w:szCs w:val="32"/>
        </w:rPr>
        <w:t>秦皇岛北戴河新区南戴河市场东门7、8、9号</w:t>
      </w:r>
    </w:p>
    <w:p>
      <w:pPr>
        <w:keepNext w:val="0"/>
        <w:keepLines w:val="0"/>
        <w:pageBreakBefore w:val="0"/>
        <w:widowControl/>
        <w:kinsoku/>
        <w:wordWrap/>
        <w:overflowPunct/>
        <w:topLinePunct w:val="0"/>
        <w:autoSpaceDE/>
        <w:autoSpaceDN/>
        <w:bidi w:val="0"/>
        <w:adjustRightInd w:val="0"/>
        <w:snapToGrid w:val="0"/>
        <w:spacing w:after="0" w:line="420" w:lineRule="exact"/>
        <w:contextualSpacing/>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经营者：</w:t>
      </w:r>
      <w:r>
        <w:rPr>
          <w:rFonts w:hint="eastAsia" w:ascii="仿宋" w:hAnsi="仿宋" w:eastAsia="仿宋" w:cs="仿宋"/>
          <w:spacing w:val="-7"/>
          <w:sz w:val="32"/>
          <w:szCs w:val="32"/>
          <w:lang w:eastAsia="zh-CN"/>
        </w:rPr>
        <w:t>耿永旺</w:t>
      </w:r>
    </w:p>
    <w:p>
      <w:pPr>
        <w:keepNext w:val="0"/>
        <w:keepLines w:val="0"/>
        <w:pageBreakBefore w:val="0"/>
        <w:widowControl/>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局收到登记时间为2025年8月12日的河北市场监管投诉举报平台举报单，编号：51130300002025081200000225，举报内容：小海鲜家常菜收取餐具费且没有明码标价，经营者涉嫌违反明码标价规定的价格违法行为。根据群众举报，2025年8月19日执法人员对现场进行了检查。本局于2025年8月20日</w:t>
      </w:r>
      <w:r>
        <w:rPr>
          <w:rFonts w:hint="eastAsia" w:ascii="仿宋" w:hAnsi="仿宋" w:eastAsia="仿宋" w:cs="仿宋"/>
          <w:color w:val="000000"/>
          <w:sz w:val="32"/>
          <w:szCs w:val="32"/>
        </w:rPr>
        <w:t>予以立案调查，</w:t>
      </w:r>
      <w:r>
        <w:rPr>
          <w:rFonts w:hint="eastAsia" w:ascii="仿宋" w:hAnsi="仿宋" w:eastAsia="仿宋" w:cs="仿宋"/>
          <w:color w:val="000000" w:themeColor="text1"/>
          <w:sz w:val="32"/>
          <w:szCs w:val="32"/>
          <w14:textFill>
            <w14:solidFill>
              <w14:schemeClr w14:val="tx1"/>
            </w14:solidFill>
          </w14:textFill>
        </w:rPr>
        <w:t>执法人员对当事人进行询问调查，确定其违法事实</w:t>
      </w:r>
      <w:r>
        <w:rPr>
          <w:rFonts w:hint="eastAsia" w:ascii="仿宋" w:hAnsi="仿宋" w:eastAsia="仿宋" w:cs="仿宋"/>
          <w:color w:val="000000"/>
          <w:sz w:val="32"/>
          <w:szCs w:val="32"/>
        </w:rPr>
        <w:t>。</w:t>
      </w:r>
    </w:p>
    <w:p>
      <w:pPr>
        <w:keepNext w:val="0"/>
        <w:keepLines w:val="0"/>
        <w:pageBreakBefore w:val="0"/>
        <w:widowControl/>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查，该店位于秦皇岛北戴河新区南戴河市场东门，当事人有营业执照，名称为北戴河新区铜涮蒙羊烧烤店，当事人餐具分为两种，一种为免费餐具，另一种为收费餐具，当事人为了节省时间和人工费于2025年8月10日购进的了包装好的消毒餐具，开始对包装好的消毒餐具进行收费，每套3元，收费期间未明码标价，2025年8月10日至2025年8月19日期间有八张餐具收费单据，共计售出40套餐具，违法所得120元。</w:t>
      </w:r>
    </w:p>
    <w:p>
      <w:pPr>
        <w:keepNext w:val="0"/>
        <w:keepLines w:val="0"/>
        <w:pageBreakBefore w:val="0"/>
        <w:wordWrap/>
        <w:overflowPunct/>
        <w:topLinePunct w:val="0"/>
        <w:bidi w:val="0"/>
        <w:spacing w:line="4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本案未采取行政强制措施。</w:t>
      </w:r>
    </w:p>
    <w:p>
      <w:pPr>
        <w:keepNext w:val="0"/>
        <w:keepLines w:val="0"/>
        <w:pageBreakBefore w:val="0"/>
        <w:widowControl/>
        <w:kinsoku/>
        <w:wordWrap/>
        <w:overflowPunct/>
        <w:topLinePunct w:val="0"/>
        <w:autoSpaceDE/>
        <w:autoSpaceDN/>
        <w:bidi w:val="0"/>
        <w:adjustRightInd w:val="0"/>
        <w:snapToGrid w:val="0"/>
        <w:spacing w:line="4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上述事实，主要有以下证据证明：</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sz w:val="32"/>
          <w:szCs w:val="32"/>
          <w:lang w:eastAsia="zh-CN"/>
        </w:rPr>
        <w:t>2025年</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月1</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日</w:t>
      </w:r>
      <w:r>
        <w:rPr>
          <w:rFonts w:hint="eastAsia" w:ascii="仿宋" w:hAnsi="仿宋" w:eastAsia="仿宋" w:cs="仿宋"/>
          <w:sz w:val="32"/>
          <w:szCs w:val="32"/>
          <w:lang w:val="en-US" w:eastAsia="zh-CN"/>
        </w:rPr>
        <w:t>的河北市场监管投诉举报平台举报单，证明线索由来</w:t>
      </w:r>
      <w:r>
        <w:rPr>
          <w:rFonts w:hint="eastAsia" w:ascii="仿宋" w:hAnsi="仿宋" w:eastAsia="仿宋" w:cs="仿宋"/>
          <w:color w:val="000000"/>
          <w:sz w:val="32"/>
          <w:szCs w:val="32"/>
        </w:rPr>
        <w:t>；</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19</w:t>
      </w:r>
      <w:r>
        <w:rPr>
          <w:rFonts w:hint="eastAsia" w:ascii="仿宋" w:hAnsi="仿宋" w:eastAsia="仿宋" w:cs="仿宋"/>
          <w:sz w:val="32"/>
          <w:szCs w:val="32"/>
          <w:lang w:eastAsia="zh-CN"/>
        </w:rPr>
        <w:t>日</w:t>
      </w:r>
      <w:r>
        <w:rPr>
          <w:rFonts w:hint="eastAsia" w:ascii="仿宋" w:hAnsi="仿宋" w:eastAsia="仿宋" w:cs="仿宋"/>
          <w:color w:val="000000"/>
          <w:sz w:val="32"/>
          <w:szCs w:val="32"/>
        </w:rPr>
        <w:t>，执法人员对当事人检查时制作的现场笔录一份，证明当事人的违法事实；</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color w:val="000000"/>
          <w:sz w:val="32"/>
          <w:szCs w:val="32"/>
        </w:rPr>
        <w:t>3、</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19</w:t>
      </w:r>
      <w:r>
        <w:rPr>
          <w:rFonts w:hint="eastAsia" w:ascii="仿宋" w:hAnsi="仿宋" w:eastAsia="仿宋" w:cs="仿宋"/>
          <w:sz w:val="32"/>
          <w:szCs w:val="32"/>
          <w:lang w:eastAsia="zh-CN"/>
        </w:rPr>
        <w:t>日</w:t>
      </w:r>
      <w:r>
        <w:rPr>
          <w:rFonts w:hint="eastAsia" w:ascii="仿宋" w:hAnsi="仿宋" w:eastAsia="仿宋" w:cs="仿宋"/>
          <w:color w:val="000000"/>
          <w:sz w:val="32"/>
          <w:szCs w:val="32"/>
        </w:rPr>
        <w:t>，执法人员对当事人检查时拍摄的</w:t>
      </w:r>
      <w:r>
        <w:rPr>
          <w:rFonts w:hint="eastAsia" w:ascii="仿宋" w:hAnsi="仿宋" w:eastAsia="仿宋" w:cs="仿宋"/>
          <w:color w:val="000000"/>
          <w:sz w:val="32"/>
          <w:szCs w:val="32"/>
          <w:lang w:eastAsia="zh-CN"/>
        </w:rPr>
        <w:t>视频</w:t>
      </w:r>
      <w:r>
        <w:rPr>
          <w:rFonts w:hint="eastAsia" w:ascii="仿宋" w:hAnsi="仿宋" w:eastAsia="仿宋" w:cs="仿宋"/>
          <w:color w:val="000000"/>
          <w:sz w:val="32"/>
          <w:szCs w:val="32"/>
        </w:rPr>
        <w:t>，证明当事人的违法事实</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sz w:val="32"/>
          <w:szCs w:val="32"/>
          <w:lang w:val="en-US" w:eastAsia="zh-CN"/>
        </w:rPr>
        <w:t>4、</w:t>
      </w:r>
      <w:bookmarkStart w:id="2" w:name="OLE_LINK3"/>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20</w:t>
      </w:r>
      <w:r>
        <w:rPr>
          <w:rFonts w:hint="eastAsia" w:ascii="仿宋" w:hAnsi="仿宋" w:eastAsia="仿宋" w:cs="仿宋"/>
          <w:sz w:val="32"/>
          <w:szCs w:val="32"/>
          <w:lang w:eastAsia="zh-CN"/>
        </w:rPr>
        <w:t>日</w:t>
      </w:r>
      <w:r>
        <w:rPr>
          <w:rFonts w:hint="eastAsia" w:ascii="仿宋" w:hAnsi="仿宋" w:eastAsia="仿宋" w:cs="仿宋"/>
          <w:color w:val="000000"/>
          <w:sz w:val="32"/>
          <w:szCs w:val="32"/>
        </w:rPr>
        <w:t>，执法人员对当事人</w:t>
      </w:r>
      <w:r>
        <w:rPr>
          <w:rFonts w:hint="eastAsia" w:ascii="仿宋" w:hAnsi="仿宋" w:eastAsia="仿宋" w:cs="仿宋"/>
          <w:color w:val="000000"/>
          <w:sz w:val="32"/>
          <w:szCs w:val="32"/>
          <w:lang w:val="en-US" w:eastAsia="zh-CN"/>
        </w:rPr>
        <w:t>询问</w:t>
      </w:r>
      <w:r>
        <w:rPr>
          <w:rFonts w:hint="eastAsia" w:ascii="仿宋" w:hAnsi="仿宋" w:eastAsia="仿宋" w:cs="仿宋"/>
          <w:color w:val="000000"/>
          <w:sz w:val="32"/>
          <w:szCs w:val="32"/>
        </w:rPr>
        <w:t>时制作的</w:t>
      </w:r>
      <w:r>
        <w:rPr>
          <w:rFonts w:hint="eastAsia" w:ascii="仿宋" w:hAnsi="仿宋" w:eastAsia="仿宋" w:cs="仿宋"/>
          <w:color w:val="000000"/>
          <w:sz w:val="32"/>
          <w:szCs w:val="32"/>
          <w:lang w:val="en-US" w:eastAsia="zh-CN"/>
        </w:rPr>
        <w:t>询问</w:t>
      </w:r>
      <w:r>
        <w:rPr>
          <w:rFonts w:hint="eastAsia" w:ascii="仿宋" w:hAnsi="仿宋" w:eastAsia="仿宋" w:cs="仿宋"/>
          <w:color w:val="000000"/>
          <w:sz w:val="32"/>
          <w:szCs w:val="32"/>
        </w:rPr>
        <w:t>笔录一份，证明当事人的违法事实</w:t>
      </w:r>
      <w:r>
        <w:rPr>
          <w:rFonts w:hint="eastAsia" w:ascii="仿宋" w:hAnsi="仿宋" w:eastAsia="仿宋" w:cs="仿宋"/>
          <w:color w:val="000000"/>
          <w:sz w:val="32"/>
          <w:szCs w:val="32"/>
          <w:lang w:val="en-US" w:eastAsia="zh-CN"/>
        </w:rPr>
        <w:t>及</w:t>
      </w:r>
      <w:bookmarkStart w:id="3" w:name="OLE_LINK11"/>
      <w:r>
        <w:rPr>
          <w:rFonts w:hint="eastAsia" w:ascii="仿宋" w:hAnsi="仿宋" w:eastAsia="仿宋" w:cs="仿宋"/>
          <w:color w:val="000000"/>
          <w:sz w:val="32"/>
          <w:szCs w:val="32"/>
          <w:lang w:val="en-US" w:eastAsia="zh-CN"/>
        </w:rPr>
        <w:t>违法所得情况</w:t>
      </w:r>
      <w:bookmarkEnd w:id="3"/>
      <w:r>
        <w:rPr>
          <w:rFonts w:hint="eastAsia" w:ascii="仿宋" w:hAnsi="仿宋" w:eastAsia="仿宋" w:cs="仿宋"/>
          <w:color w:val="000000"/>
          <w:sz w:val="32"/>
          <w:szCs w:val="32"/>
        </w:rPr>
        <w:t>；</w:t>
      </w:r>
      <w:bookmarkEnd w:id="2"/>
      <w:bookmarkStart w:id="4" w:name="OLE_LINK5"/>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5、</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20</w:t>
      </w:r>
      <w:r>
        <w:rPr>
          <w:rFonts w:hint="eastAsia" w:ascii="仿宋" w:hAnsi="仿宋" w:eastAsia="仿宋" w:cs="仿宋"/>
          <w:sz w:val="32"/>
          <w:szCs w:val="32"/>
          <w:lang w:eastAsia="zh-CN"/>
        </w:rPr>
        <w:t>日，</w:t>
      </w:r>
      <w:bookmarkEnd w:id="4"/>
      <w:r>
        <w:rPr>
          <w:rFonts w:hint="eastAsia" w:ascii="仿宋" w:hAnsi="仿宋" w:eastAsia="仿宋" w:cs="仿宋"/>
          <w:sz w:val="32"/>
          <w:szCs w:val="32"/>
          <w:lang w:val="en-US" w:eastAsia="zh-CN"/>
        </w:rPr>
        <w:t>当事人提供的</w:t>
      </w:r>
      <w:bookmarkStart w:id="5" w:name="OLE_LINK14"/>
      <w:r>
        <w:rPr>
          <w:rFonts w:hint="eastAsia" w:ascii="仿宋" w:hAnsi="仿宋" w:eastAsia="仿宋" w:cs="仿宋"/>
          <w:color w:val="000000"/>
          <w:sz w:val="32"/>
          <w:szCs w:val="32"/>
        </w:rPr>
        <w:t>营业执照复印件</w:t>
      </w:r>
      <w:bookmarkEnd w:id="5"/>
      <w:r>
        <w:rPr>
          <w:rFonts w:hint="eastAsia" w:ascii="仿宋" w:hAnsi="仿宋" w:eastAsia="仿宋" w:cs="仿宋"/>
          <w:color w:val="000000"/>
          <w:sz w:val="32"/>
          <w:szCs w:val="32"/>
        </w:rPr>
        <w:t>一张，证明当事人的市场主体资格；</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color w:val="000000"/>
          <w:sz w:val="32"/>
          <w:szCs w:val="32"/>
          <w:lang w:val="en-US" w:eastAsia="zh-CN"/>
        </w:rPr>
        <w:t>6、</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20</w:t>
      </w:r>
      <w:r>
        <w:rPr>
          <w:rFonts w:hint="eastAsia" w:ascii="仿宋" w:hAnsi="仿宋" w:eastAsia="仿宋" w:cs="仿宋"/>
          <w:sz w:val="32"/>
          <w:szCs w:val="32"/>
          <w:lang w:eastAsia="zh-CN"/>
        </w:rPr>
        <w:t>日，</w:t>
      </w:r>
      <w:r>
        <w:rPr>
          <w:rFonts w:hint="eastAsia" w:ascii="仿宋" w:hAnsi="仿宋" w:eastAsia="仿宋" w:cs="仿宋"/>
          <w:sz w:val="32"/>
          <w:szCs w:val="32"/>
          <w:lang w:val="en-US" w:eastAsia="zh-CN"/>
        </w:rPr>
        <w:t>当事人提供的</w:t>
      </w:r>
      <w:r>
        <w:rPr>
          <w:rFonts w:hint="eastAsia" w:ascii="仿宋" w:hAnsi="仿宋" w:eastAsia="仿宋" w:cs="仿宋"/>
          <w:sz w:val="32"/>
          <w:szCs w:val="32"/>
          <w:lang w:eastAsia="zh-CN"/>
        </w:rPr>
        <w:t>人</w:t>
      </w:r>
      <w:bookmarkStart w:id="6" w:name="OLE_LINK15"/>
      <w:r>
        <w:rPr>
          <w:rFonts w:hint="eastAsia" w:ascii="仿宋" w:hAnsi="仿宋" w:eastAsia="仿宋" w:cs="仿宋"/>
          <w:sz w:val="32"/>
          <w:szCs w:val="32"/>
          <w:lang w:eastAsia="zh-CN"/>
        </w:rPr>
        <w:t>食品经营许可证复印件</w:t>
      </w:r>
      <w:bookmarkEnd w:id="6"/>
      <w:r>
        <w:rPr>
          <w:rFonts w:hint="eastAsia" w:ascii="仿宋" w:hAnsi="仿宋" w:eastAsia="仿宋" w:cs="仿宋"/>
          <w:sz w:val="32"/>
          <w:szCs w:val="32"/>
          <w:lang w:eastAsia="zh-CN"/>
        </w:rPr>
        <w:t>一份，证明当事人的经营资格；</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sz w:val="32"/>
          <w:szCs w:val="32"/>
          <w:lang w:val="en-US" w:eastAsia="zh-CN"/>
        </w:rPr>
        <w:t>7、</w:t>
      </w:r>
      <w:bookmarkStart w:id="7" w:name="OLE_LINK7"/>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20</w:t>
      </w:r>
      <w:r>
        <w:rPr>
          <w:rFonts w:hint="eastAsia" w:ascii="仿宋" w:hAnsi="仿宋" w:eastAsia="仿宋" w:cs="仿宋"/>
          <w:sz w:val="32"/>
          <w:szCs w:val="32"/>
          <w:lang w:eastAsia="zh-CN"/>
        </w:rPr>
        <w:t>日，</w:t>
      </w:r>
      <w:bookmarkEnd w:id="7"/>
      <w:r>
        <w:rPr>
          <w:rFonts w:hint="eastAsia" w:ascii="仿宋" w:hAnsi="仿宋" w:eastAsia="仿宋" w:cs="仿宋"/>
          <w:sz w:val="32"/>
          <w:szCs w:val="32"/>
          <w:lang w:val="en-US" w:eastAsia="zh-CN"/>
        </w:rPr>
        <w:t>当事人提供的</w:t>
      </w:r>
      <w:bookmarkStart w:id="8" w:name="OLE_LINK16"/>
      <w:r>
        <w:rPr>
          <w:rFonts w:hint="eastAsia" w:ascii="仿宋" w:hAnsi="仿宋" w:eastAsia="仿宋" w:cs="仿宋"/>
          <w:color w:val="000000"/>
          <w:sz w:val="32"/>
          <w:szCs w:val="32"/>
        </w:rPr>
        <w:t>居民身份证复印件</w:t>
      </w:r>
      <w:bookmarkEnd w:id="8"/>
      <w:r>
        <w:rPr>
          <w:rFonts w:hint="eastAsia" w:ascii="仿宋" w:hAnsi="仿宋" w:eastAsia="仿宋" w:cs="仿宋"/>
          <w:color w:val="000000"/>
          <w:sz w:val="32"/>
          <w:szCs w:val="32"/>
          <w:lang w:val="en-US" w:eastAsia="zh-CN"/>
        </w:rPr>
        <w:t>两</w:t>
      </w:r>
      <w:r>
        <w:rPr>
          <w:rFonts w:hint="eastAsia" w:ascii="仿宋" w:hAnsi="仿宋" w:eastAsia="仿宋" w:cs="仿宋"/>
          <w:color w:val="000000"/>
          <w:sz w:val="32"/>
          <w:szCs w:val="32"/>
        </w:rPr>
        <w:t>份，证明当事人的身份；</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8、</w:t>
      </w:r>
      <w:bookmarkStart w:id="9" w:name="OLE_LINK12"/>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20</w:t>
      </w:r>
      <w:r>
        <w:rPr>
          <w:rFonts w:hint="eastAsia" w:ascii="仿宋" w:hAnsi="仿宋" w:eastAsia="仿宋" w:cs="仿宋"/>
          <w:sz w:val="32"/>
          <w:szCs w:val="32"/>
          <w:lang w:eastAsia="zh-CN"/>
        </w:rPr>
        <w:t>日</w:t>
      </w:r>
      <w:bookmarkStart w:id="10" w:name="OLE_LINK13"/>
      <w:r>
        <w:rPr>
          <w:rFonts w:hint="eastAsia" w:ascii="仿宋" w:hAnsi="仿宋" w:eastAsia="仿宋" w:cs="仿宋"/>
          <w:sz w:val="32"/>
          <w:szCs w:val="32"/>
          <w:lang w:eastAsia="zh-CN"/>
        </w:rPr>
        <w:t>，</w:t>
      </w:r>
      <w:bookmarkEnd w:id="9"/>
      <w:bookmarkStart w:id="11" w:name="OLE_LINK10"/>
      <w:r>
        <w:rPr>
          <w:rFonts w:hint="eastAsia" w:ascii="仿宋" w:hAnsi="仿宋" w:eastAsia="仿宋" w:cs="仿宋"/>
          <w:sz w:val="32"/>
          <w:szCs w:val="32"/>
          <w:lang w:val="en-US" w:eastAsia="zh-CN"/>
        </w:rPr>
        <w:t>当事人提供的</w:t>
      </w:r>
      <w:bookmarkEnd w:id="11"/>
      <w:bookmarkStart w:id="12" w:name="OLE_LINK17"/>
      <w:r>
        <w:rPr>
          <w:rFonts w:hint="eastAsia" w:ascii="仿宋" w:hAnsi="仿宋" w:eastAsia="仿宋" w:cs="仿宋"/>
          <w:color w:val="000000"/>
          <w:sz w:val="32"/>
          <w:szCs w:val="32"/>
          <w:lang w:val="en-US" w:eastAsia="zh-CN"/>
        </w:rPr>
        <w:t>点菜单8张</w:t>
      </w:r>
      <w:bookmarkEnd w:id="12"/>
      <w:r>
        <w:rPr>
          <w:rFonts w:hint="eastAsia" w:ascii="仿宋" w:hAnsi="仿宋" w:eastAsia="仿宋" w:cs="仿宋"/>
          <w:color w:val="000000"/>
          <w:sz w:val="32"/>
          <w:szCs w:val="32"/>
          <w:lang w:val="en-US" w:eastAsia="zh-CN"/>
        </w:rPr>
        <w:t>，证明</w:t>
      </w:r>
      <w:bookmarkEnd w:id="10"/>
      <w:r>
        <w:rPr>
          <w:rFonts w:hint="eastAsia" w:ascii="仿宋" w:hAnsi="仿宋" w:eastAsia="仿宋" w:cs="仿宋"/>
          <w:color w:val="000000"/>
          <w:sz w:val="32"/>
          <w:szCs w:val="32"/>
          <w:lang w:val="en-US" w:eastAsia="zh-CN"/>
        </w:rPr>
        <w:t>当事人违法所得情况；</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9、</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20</w:t>
      </w:r>
      <w:r>
        <w:rPr>
          <w:rFonts w:hint="eastAsia" w:ascii="仿宋" w:hAnsi="仿宋" w:eastAsia="仿宋" w:cs="仿宋"/>
          <w:sz w:val="32"/>
          <w:szCs w:val="32"/>
          <w:lang w:eastAsia="zh-CN"/>
        </w:rPr>
        <w:t>日，</w:t>
      </w:r>
      <w:r>
        <w:rPr>
          <w:rFonts w:hint="eastAsia" w:ascii="仿宋" w:hAnsi="仿宋" w:eastAsia="仿宋" w:cs="仿宋"/>
          <w:sz w:val="32"/>
          <w:szCs w:val="32"/>
          <w:lang w:val="en-US" w:eastAsia="zh-CN"/>
        </w:rPr>
        <w:t>当事人提供的</w:t>
      </w:r>
      <w:bookmarkStart w:id="13" w:name="OLE_LINK18"/>
      <w:r>
        <w:rPr>
          <w:rFonts w:hint="eastAsia" w:ascii="仿宋" w:hAnsi="仿宋" w:eastAsia="仿宋" w:cs="仿宋"/>
          <w:color w:val="000000"/>
          <w:sz w:val="32"/>
          <w:szCs w:val="32"/>
          <w:lang w:val="en-US" w:eastAsia="zh-CN"/>
        </w:rPr>
        <w:t>餐具供应商资质、餐具检验报告复印件各一份</w:t>
      </w:r>
      <w:bookmarkEnd w:id="13"/>
      <w:r>
        <w:rPr>
          <w:rFonts w:hint="eastAsia" w:ascii="仿宋" w:hAnsi="仿宋" w:eastAsia="仿宋" w:cs="仿宋"/>
          <w:color w:val="000000"/>
          <w:sz w:val="32"/>
          <w:szCs w:val="32"/>
          <w:lang w:val="en-US" w:eastAsia="zh-CN"/>
        </w:rPr>
        <w:t>及</w:t>
      </w:r>
      <w:bookmarkStart w:id="14" w:name="OLE_LINK19"/>
      <w:r>
        <w:rPr>
          <w:rFonts w:hint="eastAsia" w:ascii="仿宋" w:hAnsi="仿宋" w:eastAsia="仿宋" w:cs="仿宋"/>
          <w:color w:val="000000"/>
          <w:sz w:val="32"/>
          <w:szCs w:val="32"/>
          <w:lang w:val="en-US" w:eastAsia="zh-CN"/>
        </w:rPr>
        <w:t>进货单2张</w:t>
      </w:r>
      <w:bookmarkEnd w:id="14"/>
      <w:r>
        <w:rPr>
          <w:rFonts w:hint="eastAsia" w:ascii="仿宋" w:hAnsi="仿宋" w:eastAsia="仿宋" w:cs="仿宋"/>
          <w:color w:val="000000"/>
          <w:sz w:val="32"/>
          <w:szCs w:val="32"/>
          <w:lang w:val="en-US" w:eastAsia="zh-CN"/>
        </w:rPr>
        <w:t>，证明餐具的来源及数量。</w:t>
      </w:r>
    </w:p>
    <w:p>
      <w:pPr>
        <w:keepNext w:val="0"/>
        <w:keepLines w:val="0"/>
        <w:pageBreakBefore w:val="0"/>
        <w:widowControl/>
        <w:kinsoku/>
        <w:wordWrap/>
        <w:overflowPunct/>
        <w:topLinePunct w:val="0"/>
        <w:autoSpaceDE/>
        <w:autoSpaceDN/>
        <w:bidi w:val="0"/>
        <w:adjustRightInd w:val="0"/>
        <w:snapToGrid w:val="0"/>
        <w:spacing w:after="0" w:line="420" w:lineRule="exact"/>
        <w:ind w:firstLine="604" w:firstLineChars="200"/>
        <w:contextualSpacing/>
        <w:textAlignment w:val="auto"/>
        <w:rPr>
          <w:rFonts w:hint="eastAsia" w:ascii="仿宋" w:hAnsi="仿宋" w:eastAsia="仿宋" w:cs="仿宋"/>
          <w:color w:val="auto"/>
          <w:sz w:val="32"/>
          <w:szCs w:val="32"/>
        </w:rPr>
      </w:pPr>
      <w:r>
        <w:rPr>
          <w:rFonts w:hint="eastAsia" w:ascii="仿宋" w:hAnsi="仿宋" w:eastAsia="仿宋" w:cs="仿宋"/>
          <w:snapToGrid w:val="0"/>
          <w:color w:val="auto"/>
          <w:spacing w:val="-9"/>
          <w:sz w:val="32"/>
          <w:szCs w:val="32"/>
        </w:rPr>
        <w:t>202</w:t>
      </w:r>
      <w:r>
        <w:rPr>
          <w:rFonts w:hint="eastAsia" w:ascii="仿宋" w:hAnsi="仿宋" w:eastAsia="仿宋" w:cs="仿宋"/>
          <w:snapToGrid w:val="0"/>
          <w:color w:val="auto"/>
          <w:spacing w:val="-9"/>
          <w:sz w:val="32"/>
          <w:szCs w:val="32"/>
          <w:lang w:val="en-US" w:eastAsia="zh-CN"/>
        </w:rPr>
        <w:t>5</w:t>
      </w:r>
      <w:r>
        <w:rPr>
          <w:rFonts w:hint="eastAsia" w:ascii="仿宋" w:hAnsi="仿宋" w:eastAsia="仿宋" w:cs="仿宋"/>
          <w:snapToGrid w:val="0"/>
          <w:color w:val="auto"/>
          <w:spacing w:val="-9"/>
          <w:sz w:val="32"/>
          <w:szCs w:val="32"/>
        </w:rPr>
        <w:t>年</w:t>
      </w:r>
      <w:r>
        <w:rPr>
          <w:rFonts w:hint="eastAsia" w:ascii="仿宋" w:hAnsi="仿宋" w:eastAsia="仿宋" w:cs="仿宋"/>
          <w:snapToGrid w:val="0"/>
          <w:color w:val="auto"/>
          <w:spacing w:val="-9"/>
          <w:sz w:val="32"/>
          <w:szCs w:val="32"/>
          <w:lang w:val="en-US" w:eastAsia="zh-CN"/>
        </w:rPr>
        <w:t>10</w:t>
      </w:r>
      <w:r>
        <w:rPr>
          <w:rFonts w:hint="eastAsia" w:ascii="仿宋" w:hAnsi="仿宋" w:eastAsia="仿宋" w:cs="仿宋"/>
          <w:snapToGrid w:val="0"/>
          <w:color w:val="auto"/>
          <w:spacing w:val="-9"/>
          <w:sz w:val="32"/>
          <w:szCs w:val="32"/>
        </w:rPr>
        <w:t>月</w:t>
      </w:r>
      <w:r>
        <w:rPr>
          <w:rFonts w:hint="eastAsia" w:ascii="仿宋" w:hAnsi="仿宋" w:eastAsia="仿宋" w:cs="仿宋"/>
          <w:snapToGrid w:val="0"/>
          <w:color w:val="auto"/>
          <w:spacing w:val="-9"/>
          <w:sz w:val="32"/>
          <w:szCs w:val="32"/>
          <w:lang w:val="en-US" w:eastAsia="zh-CN"/>
        </w:rPr>
        <w:t>9</w:t>
      </w:r>
      <w:r>
        <w:rPr>
          <w:rFonts w:hint="eastAsia" w:ascii="仿宋" w:hAnsi="仿宋" w:eastAsia="仿宋" w:cs="仿宋"/>
          <w:snapToGrid w:val="0"/>
          <w:color w:val="auto"/>
          <w:spacing w:val="-9"/>
          <w:sz w:val="32"/>
          <w:szCs w:val="32"/>
        </w:rPr>
        <w:t>日，本局向当事人送达行政处罚告知书，告知其拟作出行政处罚内容</w:t>
      </w:r>
      <w:r>
        <w:rPr>
          <w:rFonts w:hint="eastAsia" w:ascii="仿宋" w:hAnsi="仿宋" w:eastAsia="仿宋" w:cs="仿宋"/>
          <w:snapToGrid w:val="0"/>
          <w:color w:val="auto"/>
          <w:spacing w:val="-9"/>
          <w:sz w:val="32"/>
          <w:szCs w:val="32"/>
          <w:lang w:eastAsia="zh-CN"/>
        </w:rPr>
        <w:t>以及</w:t>
      </w:r>
      <w:r>
        <w:rPr>
          <w:rFonts w:hint="eastAsia" w:ascii="仿宋" w:hAnsi="仿宋" w:eastAsia="仿宋" w:cs="仿宋"/>
          <w:snapToGrid w:val="0"/>
          <w:color w:val="auto"/>
          <w:spacing w:val="-9"/>
          <w:sz w:val="32"/>
          <w:szCs w:val="32"/>
        </w:rPr>
        <w:t>事实、理由、依据，</w:t>
      </w:r>
      <w:r>
        <w:rPr>
          <w:rFonts w:hint="eastAsia" w:ascii="仿宋" w:hAnsi="仿宋" w:eastAsia="仿宋" w:cs="仿宋"/>
          <w:snapToGrid w:val="0"/>
          <w:color w:val="auto"/>
          <w:spacing w:val="-9"/>
          <w:sz w:val="32"/>
          <w:szCs w:val="32"/>
          <w:lang w:eastAsia="zh-CN"/>
        </w:rPr>
        <w:t>并告知当事人依法享有陈述、申辩和要求听证的权利。</w:t>
      </w:r>
      <w:r>
        <w:rPr>
          <w:rFonts w:hint="eastAsia" w:ascii="仿宋" w:hAnsi="仿宋" w:eastAsia="仿宋" w:cs="仿宋"/>
          <w:snapToGrid w:val="0"/>
          <w:color w:val="auto"/>
          <w:spacing w:val="-9"/>
          <w:sz w:val="32"/>
          <w:szCs w:val="32"/>
        </w:rPr>
        <w:t>当事人在法定期限内未提出</w:t>
      </w:r>
      <w:r>
        <w:rPr>
          <w:rFonts w:hint="eastAsia" w:ascii="仿宋" w:hAnsi="仿宋" w:eastAsia="仿宋" w:cs="仿宋"/>
          <w:snapToGrid w:val="0"/>
          <w:color w:val="auto"/>
          <w:spacing w:val="-9"/>
          <w:sz w:val="32"/>
          <w:szCs w:val="32"/>
          <w:lang w:eastAsia="zh-CN"/>
        </w:rPr>
        <w:t>听证要求，也未提出</w:t>
      </w:r>
      <w:r>
        <w:rPr>
          <w:rFonts w:hint="eastAsia" w:ascii="仿宋" w:hAnsi="仿宋" w:eastAsia="仿宋" w:cs="仿宋"/>
          <w:snapToGrid w:val="0"/>
          <w:color w:val="auto"/>
          <w:spacing w:val="-9"/>
          <w:sz w:val="32"/>
          <w:szCs w:val="32"/>
        </w:rPr>
        <w:t>陈述、申辩</w:t>
      </w:r>
      <w:r>
        <w:rPr>
          <w:rFonts w:hint="eastAsia" w:ascii="仿宋" w:hAnsi="仿宋" w:eastAsia="仿宋" w:cs="仿宋"/>
          <w:snapToGrid w:val="0"/>
          <w:color w:val="auto"/>
          <w:spacing w:val="-9"/>
          <w:sz w:val="32"/>
          <w:szCs w:val="32"/>
          <w:lang w:eastAsia="zh-CN"/>
        </w:rPr>
        <w:t>意见</w:t>
      </w:r>
      <w:r>
        <w:rPr>
          <w:rFonts w:hint="eastAsia" w:ascii="仿宋" w:hAnsi="仿宋" w:eastAsia="仿宋" w:cs="仿宋"/>
          <w:snapToGrid w:val="0"/>
          <w:color w:val="auto"/>
          <w:spacing w:val="-9"/>
          <w:sz w:val="32"/>
          <w:szCs w:val="32"/>
        </w:rPr>
        <w:t>。</w:t>
      </w:r>
    </w:p>
    <w:p>
      <w:pPr>
        <w:keepNext w:val="0"/>
        <w:keepLines w:val="0"/>
        <w:pageBreakBefore w:val="0"/>
        <w:wordWrap/>
        <w:overflowPunct/>
        <w:topLinePunct w:val="0"/>
        <w:bidi w:val="0"/>
        <w:spacing w:line="4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本局认为，当事人未明码标价收取餐具费的行为，违反了《河北省消费者权益保护条例 》第三十五条第一款“餐饮业经营者应当免费提供符合质量标准和卫生条件的餐具，在显著位置明示其提供食品和服务的价格，不得设定最低消费，不得收取或者变相收取餐位费、消毒餐具费、开瓶费等不符合规定的费用。”和《中华人民共和国价格法》第十三条“ 经营者销售、收购商品和提供服务，应当按照政府价格主管部门的规定明码标价，注明商品的品名、产地、规格、等级、计价单位、价格或者服务的项目、收费标准等有关情况。”的规定。属未明码标价收取餐具费的违法行为。 </w:t>
      </w:r>
    </w:p>
    <w:p>
      <w:pPr>
        <w:keepNext w:val="0"/>
        <w:keepLines w:val="0"/>
        <w:pageBreakBefore w:val="0"/>
        <w:wordWrap/>
        <w:overflowPunct/>
        <w:topLinePunct w:val="0"/>
        <w:bidi w:val="0"/>
        <w:spacing w:line="420" w:lineRule="exact"/>
        <w:ind w:firstLine="640" w:firstLineChars="200"/>
        <w:rPr>
          <w:rFonts w:hint="eastAsia" w:ascii="仿宋" w:hAnsi="仿宋" w:eastAsia="仿宋" w:cs="仿宋"/>
          <w:color w:val="000000"/>
          <w:sz w:val="32"/>
          <w:szCs w:val="32"/>
        </w:rPr>
      </w:pPr>
      <w:r>
        <w:rPr>
          <w:rFonts w:hint="eastAsia" w:ascii="仿宋" w:hAnsi="仿宋" w:eastAsia="仿宋" w:cs="仿宋"/>
          <w:sz w:val="32"/>
          <w:szCs w:val="32"/>
        </w:rPr>
        <w:t>依据《河北省市场监督管理行政处罚裁量</w:t>
      </w:r>
      <w:r>
        <w:rPr>
          <w:rFonts w:hint="eastAsia" w:ascii="仿宋" w:hAnsi="仿宋" w:eastAsia="仿宋" w:cs="仿宋"/>
          <w:sz w:val="32"/>
          <w:szCs w:val="32"/>
          <w:lang w:eastAsia="zh-CN"/>
        </w:rPr>
        <w:t>权适用规则</w:t>
      </w:r>
      <w:r>
        <w:rPr>
          <w:rFonts w:hint="eastAsia" w:ascii="仿宋" w:hAnsi="仿宋" w:eastAsia="仿宋" w:cs="仿宋"/>
          <w:sz w:val="32"/>
          <w:szCs w:val="32"/>
        </w:rPr>
        <w:t>》的规定，综合考虑当事人违法行为的事实、性质、情节、社会危害程度，</w:t>
      </w:r>
      <w:r>
        <w:rPr>
          <w:rFonts w:hint="eastAsia" w:ascii="仿宋" w:hAnsi="仿宋" w:eastAsia="仿宋" w:cs="仿宋"/>
          <w:sz w:val="32"/>
          <w:szCs w:val="32"/>
          <w:lang w:eastAsia="zh-CN"/>
        </w:rPr>
        <w:t>没有从轻或者从重处罚的情形，</w:t>
      </w:r>
      <w:r>
        <w:rPr>
          <w:rFonts w:hint="eastAsia" w:ascii="仿宋" w:hAnsi="仿宋" w:eastAsia="仿宋" w:cs="仿宋"/>
          <w:sz w:val="32"/>
          <w:szCs w:val="32"/>
        </w:rPr>
        <w:t>适用一般裁量，</w:t>
      </w:r>
      <w:r>
        <w:rPr>
          <w:rFonts w:hint="eastAsia" w:ascii="仿宋" w:hAnsi="仿宋" w:eastAsia="仿宋" w:cs="仿宋"/>
          <w:sz w:val="32"/>
          <w:szCs w:val="32"/>
          <w:lang w:val="en-US" w:eastAsia="zh-CN"/>
        </w:rPr>
        <w:t>处罚范围应在1500 元以上 3500 元以下。</w:t>
      </w:r>
    </w:p>
    <w:p>
      <w:pPr>
        <w:pStyle w:val="4"/>
        <w:keepNext w:val="0"/>
        <w:keepLines w:val="0"/>
        <w:pageBreakBefore w:val="0"/>
        <w:numPr>
          <w:ilvl w:val="0"/>
          <w:numId w:val="0"/>
        </w:numPr>
        <w:wordWrap/>
        <w:overflowPunct/>
        <w:topLinePunct w:val="0"/>
        <w:bidi w:val="0"/>
        <w:spacing w:beforeAutospacing="0" w:afterAutospacing="0" w:line="42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color w:val="000000"/>
          <w:sz w:val="32"/>
          <w:szCs w:val="32"/>
        </w:rPr>
        <w:t>综上所述，</w:t>
      </w:r>
      <w:r>
        <w:rPr>
          <w:rFonts w:hint="eastAsia" w:ascii="仿宋" w:hAnsi="仿宋" w:eastAsia="仿宋" w:cs="仿宋"/>
          <w:sz w:val="32"/>
          <w:szCs w:val="32"/>
          <w:lang w:eastAsia="zh-CN"/>
        </w:rPr>
        <w:t>当事人违规收取餐具费的违法行为，依据《河北省消费者权益保护条例 》第六十八条“违反第三十五条规定，设定最低消费，收取或者变相收取餐位费、消毒餐具费、开瓶费等不符合规定的费用，强制消费者接受指定服务的，由工商行政管理部门或者其他有关行政部门责令改正;逾期不改正的，处以五千元罚款。”</w:t>
      </w:r>
      <w:r>
        <w:rPr>
          <w:rFonts w:hint="eastAsia" w:ascii="仿宋" w:hAnsi="仿宋" w:eastAsia="仿宋" w:cs="仿宋"/>
          <w:sz w:val="32"/>
          <w:szCs w:val="32"/>
          <w:lang w:val="en-US" w:eastAsia="zh-CN"/>
        </w:rPr>
        <w:t>之规定，</w:t>
      </w:r>
      <w:r>
        <w:rPr>
          <w:rFonts w:hint="eastAsia" w:ascii="仿宋" w:hAnsi="仿宋" w:eastAsia="仿宋" w:cs="仿宋"/>
          <w:sz w:val="32"/>
          <w:szCs w:val="32"/>
          <w:lang w:eastAsia="zh-CN"/>
        </w:rPr>
        <w:t>给予责令改正。当事人未明码标价的违法行为，依据《中华人民共和国价格法》第四十二条“经营者违反明码标价规定的，责令改正，没收违法所得，可以并处五千元以下的罚款。”之规定，</w:t>
      </w:r>
      <w:r>
        <w:rPr>
          <w:rFonts w:hint="eastAsia" w:ascii="仿宋" w:hAnsi="仿宋" w:eastAsia="仿宋" w:cs="仿宋"/>
          <w:sz w:val="32"/>
          <w:szCs w:val="32"/>
          <w:lang w:val="en-US" w:eastAsia="zh-CN"/>
        </w:rPr>
        <w:t>决定</w:t>
      </w:r>
      <w:r>
        <w:rPr>
          <w:rFonts w:hint="eastAsia" w:ascii="仿宋" w:hAnsi="仿宋" w:eastAsia="仿宋" w:cs="仿宋"/>
          <w:sz w:val="32"/>
          <w:szCs w:val="32"/>
          <w:lang w:eastAsia="zh-CN"/>
        </w:rPr>
        <w:t xml:space="preserve">责令当事人改正违法行为，并处罚如下： </w:t>
      </w:r>
    </w:p>
    <w:p>
      <w:pPr>
        <w:pStyle w:val="4"/>
        <w:keepNext w:val="0"/>
        <w:keepLines w:val="0"/>
        <w:pageBreakBefore w:val="0"/>
        <w:numPr>
          <w:ilvl w:val="0"/>
          <w:numId w:val="0"/>
        </w:numPr>
        <w:wordWrap/>
        <w:overflowPunct/>
        <w:topLinePunct w:val="0"/>
        <w:bidi w:val="0"/>
        <w:spacing w:beforeAutospacing="0" w:afterAutospacing="0" w:line="42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1、罚款1900元；</w:t>
      </w:r>
    </w:p>
    <w:p>
      <w:pPr>
        <w:pStyle w:val="4"/>
        <w:keepNext w:val="0"/>
        <w:keepLines w:val="0"/>
        <w:pageBreakBefore w:val="0"/>
        <w:numPr>
          <w:ilvl w:val="0"/>
          <w:numId w:val="0"/>
        </w:numPr>
        <w:wordWrap/>
        <w:overflowPunct/>
        <w:topLinePunct w:val="0"/>
        <w:bidi w:val="0"/>
        <w:spacing w:beforeAutospacing="0" w:afterAutospacing="0" w:line="42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2、没收违法所得120元。 </w:t>
      </w:r>
    </w:p>
    <w:p>
      <w:pPr>
        <w:pStyle w:val="4"/>
        <w:keepNext w:val="0"/>
        <w:keepLines w:val="0"/>
        <w:pageBreakBefore w:val="0"/>
        <w:numPr>
          <w:ilvl w:val="0"/>
          <w:numId w:val="0"/>
        </w:numPr>
        <w:wordWrap/>
        <w:overflowPunct/>
        <w:topLinePunct w:val="0"/>
        <w:bidi w:val="0"/>
        <w:spacing w:beforeAutospacing="0" w:afterAutospacing="0" w:line="420" w:lineRule="exact"/>
        <w:ind w:firstLine="640" w:firstLineChars="200"/>
        <w:jc w:val="both"/>
        <w:rPr>
          <w:rFonts w:hint="default" w:ascii="仿宋" w:hAnsi="仿宋" w:eastAsia="仿宋" w:cs="仿宋"/>
          <w:color w:val="000000"/>
          <w:sz w:val="32"/>
          <w:szCs w:val="32"/>
          <w:lang w:val="en-US" w:eastAsia="zh-CN"/>
        </w:rPr>
      </w:pPr>
      <w:r>
        <w:rPr>
          <w:rFonts w:hint="eastAsia" w:ascii="仿宋" w:hAnsi="仿宋" w:eastAsia="仿宋" w:cs="仿宋"/>
          <w:sz w:val="32"/>
          <w:szCs w:val="32"/>
          <w:lang w:eastAsia="zh-CN"/>
        </w:rPr>
        <w:t xml:space="preserve">合计:2020元。 </w:t>
      </w:r>
    </w:p>
    <w:p>
      <w:pPr>
        <w:keepNext w:val="0"/>
        <w:keepLines w:val="0"/>
        <w:pageBreakBefore w:val="0"/>
        <w:shd w:val="clear" w:color="auto" w:fill="FFFFFF"/>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snapToGrid/>
          <w:sz w:val="32"/>
          <w:szCs w:val="32"/>
        </w:rPr>
      </w:pPr>
      <w:r>
        <w:rPr>
          <w:rFonts w:hint="eastAsia" w:ascii="仿宋" w:hAnsi="仿宋" w:eastAsia="仿宋" w:cs="仿宋"/>
          <w:snapToGrid/>
          <w:sz w:val="32"/>
          <w:szCs w:val="32"/>
        </w:rPr>
        <w:t xml:space="preserve">当事人应当自收到本行政处罚决定书之日起十五日内，将罚没款缴至秦皇岛银行（账户：秦皇岛市财政局）。到期不缴纳罚款的，依据《中华人民共和国行政处罚法》第七十二条的规定，本局将每日按罚款数额的百分之三加处罚款，并依法申请人民法院强制执行。 </w:t>
      </w:r>
    </w:p>
    <w:p>
      <w:pPr>
        <w:keepNext w:val="0"/>
        <w:keepLines w:val="0"/>
        <w:pageBreakBefore w:val="0"/>
        <w:shd w:val="clear" w:color="auto" w:fill="FFFFFF"/>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snapToGrid/>
          <w:sz w:val="32"/>
          <w:szCs w:val="32"/>
        </w:rPr>
      </w:pPr>
      <w:r>
        <w:rPr>
          <w:rFonts w:hint="eastAsia" w:ascii="仿宋" w:hAnsi="仿宋" w:eastAsia="仿宋" w:cs="仿宋"/>
          <w:snapToGrid/>
          <w:sz w:val="32"/>
          <w:szCs w:val="32"/>
        </w:rPr>
        <w:t>如你（单位）不服本行政处罚决定，可以在收到本行政处罚决定书之日起六十日内向秦皇岛市人民政府申请行政复议；也可以在六个月内依法向秦皇岛市海港区人民法院提起行政诉讼</w:t>
      </w:r>
      <w:r>
        <w:rPr>
          <w:rFonts w:hint="eastAsia" w:ascii="仿宋" w:hAnsi="仿宋" w:eastAsia="仿宋" w:cs="仿宋"/>
          <w:snapToGrid/>
          <w:sz w:val="32"/>
          <w:szCs w:val="32"/>
          <w:lang w:eastAsia="zh-CN"/>
        </w:rPr>
        <w:t>。</w:t>
      </w:r>
      <w:r>
        <w:rPr>
          <w:rFonts w:hint="eastAsia" w:ascii="仿宋" w:hAnsi="仿宋" w:eastAsia="仿宋" w:cs="仿宋"/>
          <w:snapToGrid/>
          <w:sz w:val="32"/>
          <w:szCs w:val="32"/>
        </w:rPr>
        <w:t xml:space="preserve">          </w:t>
      </w:r>
    </w:p>
    <w:p>
      <w:pPr>
        <w:keepNext w:val="0"/>
        <w:keepLines w:val="0"/>
        <w:pageBreakBefore w:val="0"/>
        <w:shd w:val="clear" w:color="auto" w:fill="FFFFFF"/>
        <w:kinsoku/>
        <w:wordWrap/>
        <w:overflowPunct/>
        <w:topLinePunct w:val="0"/>
        <w:autoSpaceDE/>
        <w:autoSpaceDN/>
        <w:bidi w:val="0"/>
        <w:adjustRightInd/>
        <w:snapToGrid/>
        <w:spacing w:line="420" w:lineRule="exact"/>
        <w:textAlignment w:val="auto"/>
        <w:rPr>
          <w:rFonts w:hint="eastAsia" w:ascii="仿宋" w:hAnsi="仿宋" w:eastAsia="仿宋" w:cs="仿宋"/>
          <w:snapToGrid/>
          <w:sz w:val="32"/>
          <w:szCs w:val="32"/>
        </w:rPr>
      </w:pPr>
    </w:p>
    <w:p>
      <w:pPr>
        <w:keepNext w:val="0"/>
        <w:keepLines w:val="0"/>
        <w:pageBreakBefore w:val="0"/>
        <w:shd w:val="clear" w:color="auto" w:fill="FFFFFF"/>
        <w:kinsoku/>
        <w:wordWrap/>
        <w:overflowPunct/>
        <w:topLinePunct w:val="0"/>
        <w:autoSpaceDE/>
        <w:autoSpaceDN/>
        <w:bidi w:val="0"/>
        <w:adjustRightInd/>
        <w:snapToGrid/>
        <w:spacing w:line="420" w:lineRule="exact"/>
        <w:textAlignment w:val="auto"/>
        <w:rPr>
          <w:rFonts w:hint="eastAsia" w:ascii="仿宋" w:hAnsi="仿宋" w:eastAsia="仿宋" w:cs="仿宋"/>
          <w:snapToGrid/>
          <w:sz w:val="32"/>
          <w:szCs w:val="32"/>
        </w:rPr>
      </w:pPr>
    </w:p>
    <w:p>
      <w:pPr>
        <w:keepNext w:val="0"/>
        <w:keepLines w:val="0"/>
        <w:pageBreakBefore w:val="0"/>
        <w:shd w:val="clear" w:color="auto" w:fill="FFFFFF"/>
        <w:kinsoku/>
        <w:wordWrap/>
        <w:overflowPunct/>
        <w:topLinePunct w:val="0"/>
        <w:autoSpaceDE/>
        <w:autoSpaceDN/>
        <w:bidi w:val="0"/>
        <w:adjustRightInd/>
        <w:snapToGrid/>
        <w:spacing w:line="420" w:lineRule="exact"/>
        <w:textAlignment w:val="auto"/>
        <w:rPr>
          <w:rFonts w:hint="eastAsia" w:ascii="仿宋" w:hAnsi="仿宋" w:eastAsia="仿宋" w:cs="仿宋"/>
          <w:snapToGrid/>
          <w:sz w:val="32"/>
          <w:szCs w:val="32"/>
        </w:rPr>
      </w:pPr>
    </w:p>
    <w:p>
      <w:pPr>
        <w:keepNext w:val="0"/>
        <w:keepLines w:val="0"/>
        <w:pageBreakBefore w:val="0"/>
        <w:shd w:val="clear" w:color="auto" w:fill="FFFFFF"/>
        <w:kinsoku/>
        <w:wordWrap/>
        <w:overflowPunct/>
        <w:topLinePunct w:val="0"/>
        <w:autoSpaceDE/>
        <w:autoSpaceDN/>
        <w:bidi w:val="0"/>
        <w:adjustRightInd/>
        <w:snapToGrid/>
        <w:spacing w:line="420" w:lineRule="exact"/>
        <w:ind w:firstLine="4480" w:firstLineChars="1400"/>
        <w:textAlignment w:val="auto"/>
        <w:rPr>
          <w:rFonts w:hint="eastAsia" w:ascii="仿宋" w:hAnsi="仿宋" w:eastAsia="仿宋" w:cs="仿宋"/>
          <w:snapToGrid/>
          <w:color w:val="000000" w:themeColor="text1"/>
          <w:sz w:val="32"/>
          <w:szCs w:val="32"/>
          <w14:textFill>
            <w14:solidFill>
              <w14:schemeClr w14:val="tx1"/>
            </w14:solidFill>
          </w14:textFill>
        </w:rPr>
      </w:pPr>
      <w:bookmarkStart w:id="15" w:name="_GoBack"/>
      <w:bookmarkEnd w:id="15"/>
      <w:r>
        <w:rPr>
          <w:rFonts w:hint="eastAsia" w:ascii="仿宋" w:hAnsi="仿宋" w:eastAsia="仿宋" w:cs="仿宋"/>
          <w:snapToGrid/>
          <w:sz w:val="32"/>
          <w:szCs w:val="32"/>
        </w:rPr>
        <w:t>秦皇岛市市场监督管理局</w:t>
      </w:r>
    </w:p>
    <w:p>
      <w:pPr>
        <w:keepNext w:val="0"/>
        <w:keepLines w:val="0"/>
        <w:pageBreakBefore w:val="0"/>
        <w:widowControl w:val="0"/>
        <w:kinsoku/>
        <w:wordWrap/>
        <w:overflowPunct/>
        <w:topLinePunct w:val="0"/>
        <w:autoSpaceDE/>
        <w:autoSpaceDN/>
        <w:bidi w:val="0"/>
        <w:adjustRightInd/>
        <w:snapToGrid/>
        <w:spacing w:line="420" w:lineRule="exact"/>
        <w:ind w:right="640" w:firstLine="4960" w:firstLineChars="1550"/>
        <w:jc w:val="both"/>
        <w:textAlignment w:val="auto"/>
        <w:rPr>
          <w:rFonts w:hint="eastAsia" w:ascii="仿宋" w:hAnsi="仿宋" w:eastAsia="仿宋" w:cs="仿宋"/>
          <w:snapToGrid/>
          <w:color w:val="000000" w:themeColor="text1"/>
          <w:kern w:val="2"/>
          <w:sz w:val="32"/>
          <w:szCs w:val="32"/>
          <w14:textFill>
            <w14:solidFill>
              <w14:schemeClr w14:val="tx1"/>
            </w14:solidFill>
          </w14:textFill>
        </w:rPr>
      </w:pPr>
      <w:r>
        <w:rPr>
          <w:rFonts w:hint="eastAsia" w:ascii="仿宋" w:hAnsi="仿宋" w:eastAsia="仿宋" w:cs="仿宋"/>
          <w:snapToGrid/>
          <w:color w:val="000000" w:themeColor="text1"/>
          <w:kern w:val="2"/>
          <w:sz w:val="32"/>
          <w:szCs w:val="32"/>
          <w14:textFill>
            <w14:solidFill>
              <w14:schemeClr w14:val="tx1"/>
            </w14:solidFill>
          </w14:textFill>
        </w:rPr>
        <w:t>202</w:t>
      </w:r>
      <w:r>
        <w:rPr>
          <w:rFonts w:hint="eastAsia" w:ascii="仿宋" w:hAnsi="仿宋" w:eastAsia="仿宋" w:cs="仿宋"/>
          <w:snapToGrid/>
          <w:color w:val="000000" w:themeColor="text1"/>
          <w:kern w:val="2"/>
          <w:sz w:val="32"/>
          <w:szCs w:val="32"/>
          <w:lang w:val="en-US" w:eastAsia="zh-CN"/>
          <w14:textFill>
            <w14:solidFill>
              <w14:schemeClr w14:val="tx1"/>
            </w14:solidFill>
          </w14:textFill>
        </w:rPr>
        <w:t>5</w:t>
      </w:r>
      <w:r>
        <w:rPr>
          <w:rFonts w:hint="eastAsia" w:ascii="仿宋" w:hAnsi="仿宋" w:eastAsia="仿宋" w:cs="仿宋"/>
          <w:snapToGrid/>
          <w:color w:val="000000" w:themeColor="text1"/>
          <w:kern w:val="2"/>
          <w:sz w:val="32"/>
          <w:szCs w:val="32"/>
          <w14:textFill>
            <w14:solidFill>
              <w14:schemeClr w14:val="tx1"/>
            </w14:solidFill>
          </w14:textFill>
        </w:rPr>
        <w:t>年</w:t>
      </w:r>
      <w:r>
        <w:rPr>
          <w:rFonts w:hint="eastAsia" w:ascii="仿宋" w:hAnsi="仿宋" w:eastAsia="仿宋" w:cs="仿宋"/>
          <w:snapToGrid/>
          <w:color w:val="000000" w:themeColor="text1"/>
          <w:kern w:val="2"/>
          <w:sz w:val="32"/>
          <w:szCs w:val="32"/>
          <w:lang w:val="en-US" w:eastAsia="zh-CN"/>
          <w14:textFill>
            <w14:solidFill>
              <w14:schemeClr w14:val="tx1"/>
            </w14:solidFill>
          </w14:textFill>
        </w:rPr>
        <w:t>10</w:t>
      </w:r>
      <w:r>
        <w:rPr>
          <w:rFonts w:hint="eastAsia" w:ascii="仿宋" w:hAnsi="仿宋" w:eastAsia="仿宋" w:cs="仿宋"/>
          <w:snapToGrid/>
          <w:color w:val="000000" w:themeColor="text1"/>
          <w:kern w:val="2"/>
          <w:sz w:val="32"/>
          <w:szCs w:val="32"/>
          <w14:textFill>
            <w14:solidFill>
              <w14:schemeClr w14:val="tx1"/>
            </w14:solidFill>
          </w14:textFill>
        </w:rPr>
        <w:t>月</w:t>
      </w:r>
      <w:r>
        <w:rPr>
          <w:rFonts w:hint="eastAsia" w:ascii="仿宋" w:hAnsi="仿宋" w:eastAsia="仿宋" w:cs="仿宋"/>
          <w:snapToGrid/>
          <w:color w:val="000000" w:themeColor="text1"/>
          <w:kern w:val="2"/>
          <w:sz w:val="32"/>
          <w:szCs w:val="32"/>
          <w:lang w:val="en-US" w:eastAsia="zh-CN"/>
          <w14:textFill>
            <w14:solidFill>
              <w14:schemeClr w14:val="tx1"/>
            </w14:solidFill>
          </w14:textFill>
        </w:rPr>
        <w:t>16</w:t>
      </w:r>
      <w:r>
        <w:rPr>
          <w:rFonts w:hint="eastAsia" w:ascii="仿宋" w:hAnsi="仿宋" w:eastAsia="仿宋" w:cs="仿宋"/>
          <w:snapToGrid/>
          <w:color w:val="000000" w:themeColor="text1"/>
          <w:kern w:val="2"/>
          <w:sz w:val="32"/>
          <w:szCs w:val="32"/>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420" w:lineRule="exact"/>
        <w:ind w:right="640" w:firstLine="4960" w:firstLineChars="1550"/>
        <w:jc w:val="both"/>
        <w:textAlignment w:val="auto"/>
        <w:rPr>
          <w:rFonts w:hint="eastAsia" w:ascii="仿宋" w:hAnsi="仿宋" w:eastAsia="仿宋" w:cs="仿宋"/>
          <w:snapToGrid/>
          <w:color w:val="000000" w:themeColor="text1"/>
          <w:kern w:val="2"/>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仿宋" w:hAnsi="仿宋" w:eastAsia="仿宋" w:cs="Times New Roman"/>
          <w:snapToGrid/>
          <w:color w:val="auto"/>
          <w:kern w:val="2"/>
          <w:sz w:val="32"/>
          <w:szCs w:val="32"/>
        </w:rPr>
      </w:pP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 w:hAnsi="仿宋" w:eastAsia="仿宋" w:cs="Times New Roman"/>
          <w:snapToGrid/>
          <w:color w:val="auto"/>
          <w:kern w:val="2"/>
          <w:sz w:val="30"/>
          <w:szCs w:val="30"/>
        </w:rPr>
      </w:pPr>
      <w:r>
        <w:rPr>
          <w:rFonts w:hint="eastAsia" w:ascii="仿宋" w:hAnsi="仿宋" w:eastAsia="仿宋" w:cs="Times New Roman"/>
          <w:snapToGrid/>
          <w:color w:val="auto"/>
          <w:kern w:val="2"/>
          <w:sz w:val="30"/>
          <w:szCs w:val="30"/>
        </w:rPr>
        <w:t>（市场监督管理部门将依法向社会公示本行政处罚决定信息）</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仿宋" w:hAnsi="仿宋" w:eastAsia="仿宋" w:cs="Times New Roman"/>
          <w:b/>
          <w:bCs/>
          <w:snapToGrid/>
          <w:color w:val="auto"/>
          <w:kern w:val="2"/>
          <w:sz w:val="32"/>
          <w:szCs w:val="32"/>
          <w:u w:val="single"/>
        </w:rPr>
      </w:pPr>
      <w:r>
        <w:rPr>
          <w:rFonts w:ascii="仿宋" w:hAnsi="仿宋" w:eastAsia="仿宋" w:cs="Times New Roman"/>
          <w:b/>
          <w:bCs/>
          <w:snapToGrid/>
          <w:color w:val="auto"/>
          <w:kern w:val="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仿宋" w:hAnsi="仿宋" w:eastAsia="仿宋"/>
          <w:sz w:val="32"/>
          <w:szCs w:val="32"/>
        </w:rPr>
      </w:pPr>
      <w:r>
        <w:rPr>
          <w:rFonts w:hint="eastAsia" w:ascii="仿宋" w:hAnsi="仿宋" w:eastAsia="仿宋" w:cs="Times New Roman"/>
          <w:snapToGrid/>
          <w:color w:val="auto"/>
          <w:kern w:val="2"/>
          <w:sz w:val="32"/>
          <w:szCs w:val="32"/>
        </w:rPr>
        <w:t>本文书一式三份，一份送达，一份归档，一份公示</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89C"/>
    <w:rsid w:val="00082ED4"/>
    <w:rsid w:val="000F23FE"/>
    <w:rsid w:val="00203FF8"/>
    <w:rsid w:val="00295018"/>
    <w:rsid w:val="002C1C0D"/>
    <w:rsid w:val="00376941"/>
    <w:rsid w:val="003931D8"/>
    <w:rsid w:val="003C3194"/>
    <w:rsid w:val="004B1993"/>
    <w:rsid w:val="004E18DA"/>
    <w:rsid w:val="005B4438"/>
    <w:rsid w:val="00666725"/>
    <w:rsid w:val="00684A3D"/>
    <w:rsid w:val="006D730B"/>
    <w:rsid w:val="007A6627"/>
    <w:rsid w:val="007D3362"/>
    <w:rsid w:val="007F2E9B"/>
    <w:rsid w:val="00820980"/>
    <w:rsid w:val="00823551"/>
    <w:rsid w:val="008E2F83"/>
    <w:rsid w:val="0090389E"/>
    <w:rsid w:val="00950F57"/>
    <w:rsid w:val="009A389C"/>
    <w:rsid w:val="009E0F1C"/>
    <w:rsid w:val="00B538B8"/>
    <w:rsid w:val="00BC3719"/>
    <w:rsid w:val="00C0375F"/>
    <w:rsid w:val="00C50008"/>
    <w:rsid w:val="00CB040B"/>
    <w:rsid w:val="00CF1B92"/>
    <w:rsid w:val="00CF6D1B"/>
    <w:rsid w:val="00DC37A2"/>
    <w:rsid w:val="00EF727F"/>
    <w:rsid w:val="00F1790B"/>
    <w:rsid w:val="00F23500"/>
    <w:rsid w:val="00F8685F"/>
    <w:rsid w:val="00F872C0"/>
    <w:rsid w:val="041D0D35"/>
    <w:rsid w:val="07FF2725"/>
    <w:rsid w:val="0917628E"/>
    <w:rsid w:val="10C6484C"/>
    <w:rsid w:val="13BC689B"/>
    <w:rsid w:val="14A97D5E"/>
    <w:rsid w:val="14DF78C9"/>
    <w:rsid w:val="16E01CFA"/>
    <w:rsid w:val="19304F01"/>
    <w:rsid w:val="1A71513E"/>
    <w:rsid w:val="1FDE6AB6"/>
    <w:rsid w:val="21971938"/>
    <w:rsid w:val="219810F0"/>
    <w:rsid w:val="253A78A8"/>
    <w:rsid w:val="274B7363"/>
    <w:rsid w:val="2759702C"/>
    <w:rsid w:val="3004655E"/>
    <w:rsid w:val="318C6D43"/>
    <w:rsid w:val="33AE01CB"/>
    <w:rsid w:val="351B270F"/>
    <w:rsid w:val="35715037"/>
    <w:rsid w:val="389B14CB"/>
    <w:rsid w:val="3A3F5336"/>
    <w:rsid w:val="3C307A6B"/>
    <w:rsid w:val="3C463CF4"/>
    <w:rsid w:val="449D45C5"/>
    <w:rsid w:val="467A5F3B"/>
    <w:rsid w:val="48AF5F4D"/>
    <w:rsid w:val="49AC12E3"/>
    <w:rsid w:val="4A8616BE"/>
    <w:rsid w:val="4E5B7257"/>
    <w:rsid w:val="555317BC"/>
    <w:rsid w:val="55F32F59"/>
    <w:rsid w:val="56B81BAC"/>
    <w:rsid w:val="5A344424"/>
    <w:rsid w:val="5C4D737E"/>
    <w:rsid w:val="5D325865"/>
    <w:rsid w:val="5E4D7DDD"/>
    <w:rsid w:val="5F803493"/>
    <w:rsid w:val="60C433E3"/>
    <w:rsid w:val="6402250E"/>
    <w:rsid w:val="642121F0"/>
    <w:rsid w:val="6668536A"/>
    <w:rsid w:val="66A41D00"/>
    <w:rsid w:val="68DF0A9A"/>
    <w:rsid w:val="6C2A5CBF"/>
    <w:rsid w:val="6CB36CB5"/>
    <w:rsid w:val="6E0F7C10"/>
    <w:rsid w:val="73D84F88"/>
    <w:rsid w:val="753E73FC"/>
    <w:rsid w:val="784F608F"/>
    <w:rsid w:val="78FE3786"/>
    <w:rsid w:val="7D847996"/>
    <w:rsid w:val="7EA31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widowControl w:val="0"/>
      <w:tabs>
        <w:tab w:val="center" w:pos="4153"/>
        <w:tab w:val="right" w:pos="8306"/>
      </w:tabs>
      <w:kinsoku/>
      <w:autoSpaceDE/>
      <w:autoSpaceDN/>
      <w:adjustRightInd/>
      <w:textAlignment w:val="auto"/>
    </w:pPr>
    <w:rPr>
      <w:rFonts w:asciiTheme="minorHAnsi" w:hAnsiTheme="minorHAnsi" w:eastAsiaTheme="minorEastAsia" w:cstheme="minorBidi"/>
      <w:snapToGrid/>
      <w:color w:val="auto"/>
      <w:kern w:val="2"/>
      <w:sz w:val="18"/>
      <w:szCs w:val="18"/>
    </w:rPr>
  </w:style>
  <w:style w:type="paragraph" w:styleId="3">
    <w:name w:val="header"/>
    <w:basedOn w:val="1"/>
    <w:link w:val="11"/>
    <w:unhideWhenUsed/>
    <w:qFormat/>
    <w:uiPriority w:val="99"/>
    <w:pPr>
      <w:widowControl w:val="0"/>
      <w:pBdr>
        <w:bottom w:val="single" w:color="auto" w:sz="6" w:space="1"/>
      </w:pBdr>
      <w:tabs>
        <w:tab w:val="center" w:pos="4153"/>
        <w:tab w:val="right" w:pos="8306"/>
      </w:tabs>
      <w:kinsoku/>
      <w:autoSpaceDE/>
      <w:autoSpaceDN/>
      <w:adjustRightInd/>
      <w:jc w:val="center"/>
      <w:textAlignment w:val="auto"/>
    </w:pPr>
    <w:rPr>
      <w:rFonts w:asciiTheme="minorHAnsi" w:hAnsiTheme="minorHAnsi" w:eastAsiaTheme="minorEastAsia" w:cstheme="minorBidi"/>
      <w:snapToGrid/>
      <w:color w:val="auto"/>
      <w:kern w:val="2"/>
      <w:sz w:val="18"/>
      <w:szCs w:val="18"/>
    </w:rPr>
  </w:style>
  <w:style w:type="paragraph" w:styleId="4">
    <w:name w:val="Normal (Web)"/>
    <w:basedOn w:val="1"/>
    <w:unhideWhenUsed/>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character" w:styleId="7">
    <w:name w:val="Strong"/>
    <w:basedOn w:val="6"/>
    <w:qFormat/>
    <w:uiPriority w:val="0"/>
    <w:rPr>
      <w:b/>
      <w:bCs/>
    </w:rPr>
  </w:style>
  <w:style w:type="character" w:styleId="8">
    <w:name w:val="FollowedHyperlink"/>
    <w:basedOn w:val="6"/>
    <w:semiHidden/>
    <w:unhideWhenUsed/>
    <w:qFormat/>
    <w:uiPriority w:val="99"/>
    <w:rPr>
      <w:color w:val="000000"/>
      <w:sz w:val="18"/>
      <w:szCs w:val="18"/>
      <w:u w:val="none"/>
    </w:rPr>
  </w:style>
  <w:style w:type="character" w:styleId="9">
    <w:name w:val="Emphasis"/>
    <w:basedOn w:val="6"/>
    <w:qFormat/>
    <w:uiPriority w:val="20"/>
  </w:style>
  <w:style w:type="character" w:styleId="10">
    <w:name w:val="Hyperlink"/>
    <w:basedOn w:val="6"/>
    <w:semiHidden/>
    <w:unhideWhenUsed/>
    <w:qFormat/>
    <w:uiPriority w:val="99"/>
    <w:rPr>
      <w:color w:val="000000"/>
      <w:sz w:val="18"/>
      <w:szCs w:val="18"/>
      <w:u w:val="none"/>
    </w:rPr>
  </w:style>
  <w:style w:type="character" w:customStyle="1" w:styleId="11">
    <w:name w:val="页眉 字符"/>
    <w:basedOn w:val="6"/>
    <w:link w:val="3"/>
    <w:qFormat/>
    <w:uiPriority w:val="99"/>
    <w:rPr>
      <w:sz w:val="18"/>
      <w:szCs w:val="18"/>
    </w:rPr>
  </w:style>
  <w:style w:type="character" w:customStyle="1" w:styleId="12">
    <w:name w:val="页脚 字符"/>
    <w:basedOn w:val="6"/>
    <w:link w:val="2"/>
    <w:qFormat/>
    <w:uiPriority w:val="99"/>
    <w:rPr>
      <w:sz w:val="18"/>
      <w:szCs w:val="18"/>
    </w:rPr>
  </w:style>
  <w:style w:type="paragraph" w:styleId="13">
    <w:name w:val="List Paragraph"/>
    <w:basedOn w:val="1"/>
    <w:qFormat/>
    <w:uiPriority w:val="34"/>
    <w:pPr>
      <w:ind w:firstLine="420" w:firstLineChars="200"/>
    </w:pPr>
  </w:style>
  <w:style w:type="table" w:customStyle="1" w:styleId="14">
    <w:name w:val="Table Normal"/>
    <w:semiHidden/>
    <w:unhideWhenUsed/>
    <w:qFormat/>
    <w:uiPriority w:val="0"/>
    <w:rPr>
      <w:rFonts w:ascii="Arial" w:hAnsi="Arial" w:cs="Arial"/>
      <w:kern w:val="0"/>
      <w:sz w:val="20"/>
      <w:szCs w:val="20"/>
    </w:rPr>
    <w:tblPr>
      <w:tblCellMar>
        <w:top w:w="0" w:type="dxa"/>
        <w:left w:w="0" w:type="dxa"/>
        <w:bottom w:w="0" w:type="dxa"/>
        <w:right w:w="0" w:type="dxa"/>
      </w:tblCellMar>
    </w:tblPr>
  </w:style>
  <w:style w:type="character" w:customStyle="1" w:styleId="15">
    <w:name w:val="red"/>
    <w:basedOn w:val="6"/>
    <w:qFormat/>
    <w:uiPriority w:val="0"/>
    <w:rPr>
      <w:color w:val="FF0000"/>
    </w:rPr>
  </w:style>
  <w:style w:type="character" w:customStyle="1" w:styleId="16">
    <w:name w:val="default2"/>
    <w:basedOn w:val="6"/>
    <w:qFormat/>
    <w:uiPriority w:val="0"/>
  </w:style>
  <w:style w:type="character" w:customStyle="1" w:styleId="17">
    <w:name w:val="num"/>
    <w:basedOn w:val="6"/>
    <w:qFormat/>
    <w:uiPriority w:val="0"/>
    <w:rPr>
      <w:rFonts w:ascii="Arial" w:hAnsi="Arial" w:cs="Arial"/>
      <w:color w:val="FFFFFF"/>
      <w:sz w:val="16"/>
      <w:szCs w:val="16"/>
    </w:rPr>
  </w:style>
  <w:style w:type="character" w:customStyle="1" w:styleId="18">
    <w:name w:val="blf"/>
    <w:basedOn w:val="6"/>
    <w:qFormat/>
    <w:uiPriority w:val="0"/>
  </w:style>
  <w:style w:type="character" w:customStyle="1" w:styleId="19">
    <w:name w:val="brt"/>
    <w:basedOn w:val="6"/>
    <w:qFormat/>
    <w:uiPriority w:val="0"/>
  </w:style>
  <w:style w:type="character" w:customStyle="1" w:styleId="20">
    <w:name w:val="show2"/>
    <w:basedOn w:val="6"/>
    <w:qFormat/>
    <w:uiPriority w:val="0"/>
  </w:style>
  <w:style w:type="character" w:customStyle="1" w:styleId="21">
    <w:name w:val="show3"/>
    <w:basedOn w:val="6"/>
    <w:qFormat/>
    <w:uiPriority w:val="0"/>
  </w:style>
  <w:style w:type="character" w:customStyle="1" w:styleId="22">
    <w:name w:val="default"/>
    <w:basedOn w:val="6"/>
    <w:qFormat/>
    <w:uiPriority w:val="0"/>
  </w:style>
  <w:style w:type="character" w:customStyle="1" w:styleId="23">
    <w:name w:val="show"/>
    <w:basedOn w:val="6"/>
    <w:qFormat/>
    <w:uiPriority w:val="0"/>
  </w:style>
  <w:style w:type="character" w:customStyle="1" w:styleId="24">
    <w:name w:val="show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1679</Words>
  <Characters>1790</Characters>
  <Lines>18</Lines>
  <Paragraphs>5</Paragraphs>
  <TotalTime>8</TotalTime>
  <ScaleCrop>false</ScaleCrop>
  <LinksUpToDate>false</LinksUpToDate>
  <CharactersWithSpaces>1875</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2021-10-13T15:06:00Z</dcterms:created>
  <dc:creator>Windows 用户</dc:creator>
  <cp:lastModifiedBy>Administrator</cp:lastModifiedBy>
  <cp:lastPrinted>2023-08-08T01:07:00Z</cp:lastPrinted>
  <dcterms:modified xsi:type="dcterms:W3CDTF">2025-10-24T01:10:38Z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58A4F54D38354B68BE89205DAFF8A940</vt:lpwstr>
  </property>
</Properties>
</file>