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096"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26"/>
        <w:gridCol w:w="850"/>
        <w:gridCol w:w="1134"/>
        <w:gridCol w:w="3118"/>
        <w:gridCol w:w="1134"/>
        <w:gridCol w:w="964"/>
        <w:gridCol w:w="3685"/>
        <w:gridCol w:w="3118"/>
        <w:gridCol w:w="567"/>
      </w:tblGrid>
      <w:tr w14:paraId="60B222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blHeader/>
        </w:trPr>
        <w:tc>
          <w:tcPr>
            <w:tcW w:w="526" w:type="dxa"/>
            <w:tcBorders>
              <w:tl2br w:val="nil"/>
              <w:tr2bl w:val="nil"/>
            </w:tcBorders>
            <w:tcMar>
              <w:top w:w="0" w:type="dxa"/>
              <w:left w:w="0" w:type="dxa"/>
              <w:bottom w:w="0" w:type="dxa"/>
              <w:right w:w="0" w:type="dxa"/>
            </w:tcMar>
            <w:vAlign w:val="center"/>
          </w:tcPr>
          <w:p w14:paraId="57D915A9">
            <w:pPr>
              <w:keepNext w:val="0"/>
              <w:keepLines w:val="0"/>
              <w:pageBreakBefore w:val="0"/>
              <w:widowControl/>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s="黑体"/>
                <w:color w:val="000000"/>
                <w:sz w:val="24"/>
                <w:szCs w:val="24"/>
              </w:rPr>
            </w:pPr>
            <w:r>
              <w:rPr>
                <w:rFonts w:hint="eastAsia" w:ascii="黑体" w:hAnsi="黑体" w:eastAsia="黑体" w:cs="黑体"/>
                <w:color w:val="000000"/>
                <w:sz w:val="24"/>
                <w:szCs w:val="24"/>
              </w:rPr>
              <w:t>序号</w:t>
            </w:r>
          </w:p>
        </w:tc>
        <w:tc>
          <w:tcPr>
            <w:tcW w:w="850" w:type="dxa"/>
            <w:tcBorders>
              <w:tl2br w:val="nil"/>
              <w:tr2bl w:val="nil"/>
            </w:tcBorders>
            <w:tcMar>
              <w:top w:w="0" w:type="dxa"/>
              <w:left w:w="0" w:type="dxa"/>
              <w:bottom w:w="0" w:type="dxa"/>
              <w:right w:w="0" w:type="dxa"/>
            </w:tcMar>
            <w:vAlign w:val="center"/>
          </w:tcPr>
          <w:p w14:paraId="0B6BE760">
            <w:pPr>
              <w:keepNext w:val="0"/>
              <w:keepLines w:val="0"/>
              <w:pageBreakBefore w:val="0"/>
              <w:widowControl/>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s="黑体"/>
                <w:color w:val="000000"/>
                <w:sz w:val="24"/>
                <w:szCs w:val="24"/>
              </w:rPr>
            </w:pPr>
            <w:r>
              <w:rPr>
                <w:rFonts w:hint="eastAsia" w:ascii="黑体" w:hAnsi="黑体" w:eastAsia="黑体" w:cs="黑体"/>
                <w:color w:val="000000"/>
                <w:sz w:val="24"/>
                <w:szCs w:val="24"/>
              </w:rPr>
              <w:t>权力</w:t>
            </w:r>
          </w:p>
          <w:p w14:paraId="04DEF958">
            <w:pPr>
              <w:keepNext w:val="0"/>
              <w:keepLines w:val="0"/>
              <w:pageBreakBefore w:val="0"/>
              <w:widowControl/>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s="黑体"/>
                <w:color w:val="000000"/>
                <w:sz w:val="24"/>
                <w:szCs w:val="24"/>
              </w:rPr>
            </w:pPr>
            <w:r>
              <w:rPr>
                <w:rFonts w:hint="eastAsia" w:ascii="黑体" w:hAnsi="黑体" w:eastAsia="黑体" w:cs="黑体"/>
                <w:color w:val="000000"/>
                <w:sz w:val="24"/>
                <w:szCs w:val="24"/>
              </w:rPr>
              <w:t>类型</w:t>
            </w:r>
          </w:p>
        </w:tc>
        <w:tc>
          <w:tcPr>
            <w:tcW w:w="1134" w:type="dxa"/>
            <w:tcBorders>
              <w:tl2br w:val="nil"/>
              <w:tr2bl w:val="nil"/>
            </w:tcBorders>
            <w:vAlign w:val="center"/>
          </w:tcPr>
          <w:p w14:paraId="34829441">
            <w:pPr>
              <w:keepNext w:val="0"/>
              <w:keepLines w:val="0"/>
              <w:pageBreakBefore w:val="0"/>
              <w:widowControl/>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s="黑体"/>
                <w:color w:val="000000"/>
                <w:sz w:val="24"/>
                <w:szCs w:val="24"/>
              </w:rPr>
            </w:pPr>
            <w:r>
              <w:rPr>
                <w:rFonts w:hint="eastAsia" w:ascii="黑体" w:hAnsi="黑体" w:eastAsia="黑体" w:cs="黑体"/>
                <w:color w:val="000000"/>
                <w:sz w:val="24"/>
                <w:szCs w:val="24"/>
              </w:rPr>
              <w:t>权力</w:t>
            </w:r>
          </w:p>
          <w:p w14:paraId="5C7CBD00">
            <w:pPr>
              <w:keepNext w:val="0"/>
              <w:keepLines w:val="0"/>
              <w:pageBreakBefore w:val="0"/>
              <w:widowControl/>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s="黑体"/>
                <w:color w:val="000000"/>
                <w:sz w:val="24"/>
                <w:szCs w:val="24"/>
              </w:rPr>
            </w:pPr>
            <w:r>
              <w:rPr>
                <w:rFonts w:hint="eastAsia" w:ascii="黑体" w:hAnsi="黑体" w:eastAsia="黑体" w:cs="黑体"/>
                <w:color w:val="000000"/>
                <w:sz w:val="24"/>
                <w:szCs w:val="24"/>
              </w:rPr>
              <w:t>事项</w:t>
            </w:r>
          </w:p>
        </w:tc>
        <w:tc>
          <w:tcPr>
            <w:tcW w:w="3118" w:type="dxa"/>
            <w:tcBorders>
              <w:tl2br w:val="nil"/>
              <w:tr2bl w:val="nil"/>
            </w:tcBorders>
            <w:vAlign w:val="center"/>
          </w:tcPr>
          <w:p w14:paraId="0A73E367">
            <w:pPr>
              <w:keepNext w:val="0"/>
              <w:keepLines w:val="0"/>
              <w:pageBreakBefore w:val="0"/>
              <w:widowControl/>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s="黑体"/>
                <w:color w:val="000000"/>
                <w:sz w:val="24"/>
                <w:szCs w:val="24"/>
              </w:rPr>
            </w:pPr>
            <w:r>
              <w:rPr>
                <w:rFonts w:hint="eastAsia" w:ascii="黑体" w:hAnsi="黑体" w:eastAsia="黑体" w:cs="黑体"/>
                <w:color w:val="000000"/>
                <w:sz w:val="24"/>
                <w:szCs w:val="24"/>
              </w:rPr>
              <w:t>实施依据</w:t>
            </w:r>
          </w:p>
        </w:tc>
        <w:tc>
          <w:tcPr>
            <w:tcW w:w="1134" w:type="dxa"/>
            <w:tcBorders>
              <w:tl2br w:val="nil"/>
              <w:tr2bl w:val="nil"/>
            </w:tcBorders>
            <w:tcMar>
              <w:top w:w="0" w:type="dxa"/>
              <w:left w:w="0" w:type="dxa"/>
              <w:bottom w:w="0" w:type="dxa"/>
              <w:right w:w="0" w:type="dxa"/>
            </w:tcMar>
            <w:vAlign w:val="center"/>
          </w:tcPr>
          <w:p w14:paraId="07D554C6">
            <w:pPr>
              <w:keepNext w:val="0"/>
              <w:keepLines w:val="0"/>
              <w:pageBreakBefore w:val="0"/>
              <w:widowControl/>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s="黑体"/>
                <w:color w:val="000000"/>
                <w:sz w:val="24"/>
                <w:szCs w:val="24"/>
              </w:rPr>
            </w:pPr>
            <w:r>
              <w:rPr>
                <w:rFonts w:hint="eastAsia" w:ascii="黑体" w:hAnsi="黑体" w:eastAsia="黑体" w:cs="黑体"/>
                <w:color w:val="000000"/>
                <w:sz w:val="24"/>
                <w:szCs w:val="24"/>
              </w:rPr>
              <w:t>省级</w:t>
            </w:r>
          </w:p>
          <w:p w14:paraId="48A7B0C3">
            <w:pPr>
              <w:keepNext w:val="0"/>
              <w:keepLines w:val="0"/>
              <w:pageBreakBefore w:val="0"/>
              <w:widowControl/>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s="黑体"/>
                <w:color w:val="000000"/>
                <w:sz w:val="24"/>
                <w:szCs w:val="24"/>
              </w:rPr>
            </w:pPr>
            <w:r>
              <w:rPr>
                <w:rFonts w:hint="eastAsia" w:ascii="黑体" w:hAnsi="黑体" w:eastAsia="黑体" w:cs="黑体"/>
                <w:color w:val="000000"/>
                <w:sz w:val="24"/>
                <w:szCs w:val="24"/>
              </w:rPr>
              <w:t>主管部门</w:t>
            </w:r>
          </w:p>
        </w:tc>
        <w:tc>
          <w:tcPr>
            <w:tcW w:w="964" w:type="dxa"/>
            <w:tcBorders>
              <w:tl2br w:val="nil"/>
              <w:tr2bl w:val="nil"/>
            </w:tcBorders>
            <w:tcMar>
              <w:top w:w="0" w:type="dxa"/>
              <w:left w:w="0" w:type="dxa"/>
              <w:bottom w:w="0" w:type="dxa"/>
              <w:right w:w="0" w:type="dxa"/>
            </w:tcMar>
            <w:vAlign w:val="center"/>
          </w:tcPr>
          <w:p w14:paraId="7EFA1C06">
            <w:pPr>
              <w:keepNext w:val="0"/>
              <w:keepLines w:val="0"/>
              <w:pageBreakBefore w:val="0"/>
              <w:widowControl/>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s="黑体"/>
                <w:color w:val="000000"/>
                <w:sz w:val="24"/>
                <w:szCs w:val="24"/>
              </w:rPr>
            </w:pPr>
            <w:r>
              <w:rPr>
                <w:rFonts w:hint="eastAsia" w:ascii="黑体" w:hAnsi="黑体" w:eastAsia="黑体" w:cs="黑体"/>
                <w:color w:val="000000"/>
                <w:sz w:val="24"/>
                <w:szCs w:val="24"/>
              </w:rPr>
              <w:t>实施</w:t>
            </w:r>
          </w:p>
          <w:p w14:paraId="05F01A32">
            <w:pPr>
              <w:keepNext w:val="0"/>
              <w:keepLines w:val="0"/>
              <w:pageBreakBefore w:val="0"/>
              <w:widowControl/>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s="黑体"/>
                <w:color w:val="000000"/>
                <w:sz w:val="24"/>
                <w:szCs w:val="24"/>
              </w:rPr>
            </w:pPr>
            <w:r>
              <w:rPr>
                <w:rFonts w:hint="eastAsia" w:ascii="黑体" w:hAnsi="黑体" w:eastAsia="黑体" w:cs="黑体"/>
                <w:color w:val="000000"/>
                <w:sz w:val="24"/>
                <w:szCs w:val="24"/>
              </w:rPr>
              <w:t>层级</w:t>
            </w:r>
          </w:p>
        </w:tc>
        <w:tc>
          <w:tcPr>
            <w:tcW w:w="3685" w:type="dxa"/>
            <w:tcBorders>
              <w:tl2br w:val="nil"/>
              <w:tr2bl w:val="nil"/>
            </w:tcBorders>
            <w:vAlign w:val="center"/>
          </w:tcPr>
          <w:p w14:paraId="1876FED5">
            <w:pPr>
              <w:keepNext w:val="0"/>
              <w:keepLines w:val="0"/>
              <w:pageBreakBefore w:val="0"/>
              <w:widowControl/>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s="黑体"/>
                <w:color w:val="000000"/>
                <w:sz w:val="24"/>
                <w:szCs w:val="24"/>
              </w:rPr>
            </w:pPr>
            <w:r>
              <w:rPr>
                <w:rFonts w:hint="eastAsia" w:ascii="黑体" w:hAnsi="黑体" w:eastAsia="黑体" w:cs="黑体"/>
                <w:color w:val="000000"/>
                <w:sz w:val="24"/>
                <w:szCs w:val="24"/>
              </w:rPr>
              <w:t>责任事项</w:t>
            </w:r>
          </w:p>
        </w:tc>
        <w:tc>
          <w:tcPr>
            <w:tcW w:w="3118" w:type="dxa"/>
            <w:tcBorders>
              <w:tl2br w:val="nil"/>
              <w:tr2bl w:val="nil"/>
            </w:tcBorders>
            <w:vAlign w:val="center"/>
          </w:tcPr>
          <w:p w14:paraId="5A880194">
            <w:pPr>
              <w:keepNext w:val="0"/>
              <w:keepLines w:val="0"/>
              <w:pageBreakBefore w:val="0"/>
              <w:widowControl/>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s="黑体"/>
                <w:color w:val="000000"/>
                <w:sz w:val="24"/>
                <w:szCs w:val="24"/>
              </w:rPr>
            </w:pPr>
            <w:r>
              <w:rPr>
                <w:rFonts w:hint="eastAsia" w:ascii="黑体" w:hAnsi="黑体" w:eastAsia="黑体" w:cs="黑体"/>
                <w:color w:val="000000"/>
                <w:sz w:val="24"/>
                <w:szCs w:val="24"/>
              </w:rPr>
              <w:t>追责情形</w:t>
            </w:r>
          </w:p>
        </w:tc>
        <w:tc>
          <w:tcPr>
            <w:tcW w:w="567" w:type="dxa"/>
            <w:tcBorders>
              <w:tl2br w:val="nil"/>
              <w:tr2bl w:val="nil"/>
            </w:tcBorders>
            <w:tcMar>
              <w:top w:w="0" w:type="dxa"/>
              <w:left w:w="0" w:type="dxa"/>
              <w:bottom w:w="0" w:type="dxa"/>
              <w:right w:w="0" w:type="dxa"/>
            </w:tcMar>
            <w:vAlign w:val="center"/>
          </w:tcPr>
          <w:p w14:paraId="57F8FCC5">
            <w:pPr>
              <w:keepNext w:val="0"/>
              <w:keepLines w:val="0"/>
              <w:pageBreakBefore w:val="0"/>
              <w:widowControl/>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s="黑体"/>
                <w:color w:val="000000"/>
                <w:sz w:val="24"/>
                <w:szCs w:val="24"/>
              </w:rPr>
            </w:pPr>
            <w:r>
              <w:rPr>
                <w:rFonts w:hint="eastAsia" w:ascii="黑体" w:hAnsi="黑体" w:eastAsia="黑体" w:cs="黑体"/>
                <w:color w:val="000000"/>
                <w:sz w:val="24"/>
                <w:szCs w:val="24"/>
              </w:rPr>
              <w:t>备注</w:t>
            </w:r>
          </w:p>
        </w:tc>
      </w:tr>
      <w:tr w14:paraId="616876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957" w:hRule="atLeast"/>
        </w:trPr>
        <w:tc>
          <w:tcPr>
            <w:tcW w:w="526" w:type="dxa"/>
            <w:tcBorders>
              <w:tl2br w:val="nil"/>
              <w:tr2bl w:val="nil"/>
            </w:tcBorders>
            <w:vAlign w:val="center"/>
          </w:tcPr>
          <w:p w14:paraId="3AC685B9">
            <w:pPr>
              <w:keepNext w:val="0"/>
              <w:keepLines w:val="0"/>
              <w:pageBreakBefore w:val="0"/>
              <w:widowControl/>
              <w:kinsoku/>
              <w:wordWrap/>
              <w:overflowPunct/>
              <w:topLinePunct w:val="0"/>
              <w:autoSpaceDE/>
              <w:autoSpaceDN/>
              <w:bidi w:val="0"/>
              <w:adjustRightInd/>
              <w:snapToGrid/>
              <w:spacing w:beforeLines="0" w:afterLines="0" w:line="240" w:lineRule="exact"/>
              <w:jc w:val="center"/>
              <w:textAlignment w:val="auto"/>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lang w:val="en-US" w:eastAsia="zh-CN"/>
              </w:rPr>
              <w:t>1</w:t>
            </w:r>
          </w:p>
        </w:tc>
        <w:tc>
          <w:tcPr>
            <w:tcW w:w="850" w:type="dxa"/>
            <w:tcBorders>
              <w:tl2br w:val="nil"/>
              <w:tr2bl w:val="nil"/>
            </w:tcBorders>
            <w:tcMar>
              <w:top w:w="0" w:type="dxa"/>
              <w:left w:w="0" w:type="dxa"/>
              <w:bottom w:w="0" w:type="dxa"/>
              <w:right w:w="0" w:type="dxa"/>
            </w:tcMar>
            <w:vAlign w:val="center"/>
          </w:tcPr>
          <w:p w14:paraId="6D69ED2C">
            <w:pPr>
              <w:keepNext w:val="0"/>
              <w:keepLines w:val="0"/>
              <w:pageBreakBefore w:val="0"/>
              <w:widowControl/>
              <w:kinsoku/>
              <w:wordWrap/>
              <w:overflowPunct/>
              <w:topLinePunct w:val="0"/>
              <w:autoSpaceDE/>
              <w:autoSpaceDN/>
              <w:bidi w:val="0"/>
              <w:adjustRightInd/>
              <w:snapToGrid/>
              <w:spacing w:beforeLines="0" w:afterLines="0" w:line="240" w:lineRule="exact"/>
              <w:jc w:val="center"/>
              <w:textAlignment w:val="auto"/>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lang w:eastAsia="zh-CN"/>
              </w:rPr>
              <w:t>行政备案</w:t>
            </w:r>
          </w:p>
        </w:tc>
        <w:tc>
          <w:tcPr>
            <w:tcW w:w="1134" w:type="dxa"/>
            <w:tcBorders>
              <w:tl2br w:val="nil"/>
              <w:tr2bl w:val="nil"/>
            </w:tcBorders>
            <w:vAlign w:val="center"/>
          </w:tcPr>
          <w:p w14:paraId="60865ACB">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外商投资企业备案</w:t>
            </w:r>
          </w:p>
        </w:tc>
        <w:tc>
          <w:tcPr>
            <w:tcW w:w="3118" w:type="dxa"/>
            <w:tcBorders>
              <w:tl2br w:val="nil"/>
              <w:tr2bl w:val="nil"/>
            </w:tcBorders>
            <w:vAlign w:val="center"/>
          </w:tcPr>
          <w:p w14:paraId="6E55FF70">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《中华人民共和国市场主体登记管理条例》（中华人民共和国国务院令第746号，2021.07.27发布，2022.03.01实施）第九条“市场主体的下列事项应当向登记机关办理备案：</w:t>
            </w:r>
          </w:p>
          <w:p w14:paraId="39E68654">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（一）章程或者合伙协议；</w:t>
            </w:r>
          </w:p>
          <w:p w14:paraId="0A22C680">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（二）经营期限或者合伙期限；</w:t>
            </w:r>
          </w:p>
          <w:p w14:paraId="69D3D74E">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（三）有限责任公司股东或者股份有限公司发起人认缴的出资数额，合伙企业合伙人认缴或者实际缴付的出资数额、缴付期限和出资方式；</w:t>
            </w:r>
          </w:p>
          <w:p w14:paraId="1AA2252E">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（四）公司董事、监事、高级管理人员；</w:t>
            </w:r>
          </w:p>
          <w:p w14:paraId="07021864">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（五）农民专业合作社（联合社）成员；</w:t>
            </w:r>
          </w:p>
          <w:p w14:paraId="6E7B8FBE">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（六）参加经营的个体工商户家庭成员姓名；</w:t>
            </w:r>
          </w:p>
          <w:p w14:paraId="05A0A883">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（七）市场主体登记联络员、外商投资企业法律文件送达</w:t>
            </w:r>
            <w:r>
              <w:rPr>
                <w:rFonts w:hint="eastAsia" w:ascii="仿宋_GB2312" w:hAnsi="仿宋_GB2312" w:eastAsia="仿宋_GB2312" w:cs="仿宋_GB2312"/>
                <w:color w:val="000000"/>
                <w:sz w:val="18"/>
                <w:szCs w:val="18"/>
                <w:lang w:eastAsia="zh-CN"/>
              </w:rPr>
              <w:t>接收</w:t>
            </w:r>
            <w:r>
              <w:rPr>
                <w:rFonts w:hint="eastAsia" w:ascii="仿宋_GB2312" w:hAnsi="仿宋_GB2312" w:eastAsia="仿宋_GB2312" w:cs="仿宋_GB2312"/>
                <w:color w:val="000000"/>
                <w:sz w:val="18"/>
                <w:szCs w:val="18"/>
              </w:rPr>
              <w:t>人；</w:t>
            </w:r>
          </w:p>
          <w:p w14:paraId="4B83D5D2">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（八）公司、合伙企业等市场主体受益所有人相关信息；</w:t>
            </w:r>
          </w:p>
          <w:p w14:paraId="399F8906">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（九）法律、行政法规规定的其他事项。”</w:t>
            </w:r>
          </w:p>
        </w:tc>
        <w:tc>
          <w:tcPr>
            <w:tcW w:w="1134" w:type="dxa"/>
            <w:tcBorders>
              <w:tl2br w:val="nil"/>
              <w:tr2bl w:val="nil"/>
            </w:tcBorders>
            <w:tcMar>
              <w:left w:w="0" w:type="dxa"/>
              <w:right w:w="0" w:type="dxa"/>
            </w:tcMar>
            <w:vAlign w:val="center"/>
          </w:tcPr>
          <w:p w14:paraId="4DBB6937">
            <w:pPr>
              <w:keepNext w:val="0"/>
              <w:keepLines w:val="0"/>
              <w:pageBreakBefore w:val="0"/>
              <w:widowControl/>
              <w:kinsoku/>
              <w:wordWrap/>
              <w:overflowPunct/>
              <w:topLinePunct w:val="0"/>
              <w:autoSpaceDE/>
              <w:autoSpaceDN/>
              <w:bidi w:val="0"/>
              <w:adjustRightInd/>
              <w:snapToGrid/>
              <w:spacing w:beforeLines="0" w:afterLines="0" w:line="240" w:lineRule="exact"/>
              <w:jc w:val="center"/>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河北省市场监督管理局</w:t>
            </w:r>
          </w:p>
        </w:tc>
        <w:tc>
          <w:tcPr>
            <w:tcW w:w="964" w:type="dxa"/>
            <w:tcBorders>
              <w:tl2br w:val="nil"/>
              <w:tr2bl w:val="nil"/>
            </w:tcBorders>
            <w:tcMar>
              <w:top w:w="0" w:type="dxa"/>
              <w:left w:w="0" w:type="dxa"/>
              <w:bottom w:w="0" w:type="dxa"/>
              <w:right w:w="0" w:type="dxa"/>
            </w:tcMar>
            <w:vAlign w:val="center"/>
          </w:tcPr>
          <w:p w14:paraId="69D14E43">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市级、授权的县区局</w:t>
            </w:r>
          </w:p>
        </w:tc>
        <w:tc>
          <w:tcPr>
            <w:tcW w:w="3685" w:type="dxa"/>
            <w:tcBorders>
              <w:tl2br w:val="nil"/>
              <w:tr2bl w:val="nil"/>
            </w:tcBorders>
            <w:vAlign w:val="center"/>
          </w:tcPr>
          <w:p w14:paraId="015EDF20">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1.备案责任：市场监督管理局工作人员按照有关法律、法规规章的规定，对企业（外资）进行备案。</w:t>
            </w:r>
          </w:p>
          <w:p w14:paraId="38D5387C">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2.公示责任：将公司（外资）登记、备案信息</w:t>
            </w:r>
            <w:r>
              <w:rPr>
                <w:rFonts w:hint="eastAsia" w:ascii="仿宋_GB2312" w:hAnsi="仿宋_GB2312" w:eastAsia="仿宋_GB2312" w:cs="仿宋_GB2312"/>
                <w:color w:val="000000"/>
                <w:sz w:val="18"/>
                <w:szCs w:val="18"/>
                <w:lang w:eastAsia="zh-CN"/>
              </w:rPr>
              <w:t>通过国家企业信用信息公示系统</w:t>
            </w:r>
            <w:r>
              <w:rPr>
                <w:rFonts w:hint="eastAsia" w:ascii="仿宋_GB2312" w:hAnsi="仿宋_GB2312" w:eastAsia="仿宋_GB2312" w:cs="仿宋_GB2312"/>
                <w:color w:val="000000"/>
                <w:sz w:val="18"/>
                <w:szCs w:val="18"/>
              </w:rPr>
              <w:t>向社会公示。将合伙企业登记、备案信息</w:t>
            </w:r>
            <w:r>
              <w:rPr>
                <w:rFonts w:hint="eastAsia" w:ascii="仿宋_GB2312" w:hAnsi="仿宋_GB2312" w:eastAsia="仿宋_GB2312" w:cs="仿宋_GB2312"/>
                <w:color w:val="000000"/>
                <w:sz w:val="18"/>
                <w:szCs w:val="18"/>
                <w:lang w:eastAsia="zh-CN"/>
              </w:rPr>
              <w:t>通过国家企业信用信息公示系统</w:t>
            </w:r>
            <w:r>
              <w:rPr>
                <w:rFonts w:hint="eastAsia" w:ascii="仿宋_GB2312" w:hAnsi="仿宋_GB2312" w:eastAsia="仿宋_GB2312" w:cs="仿宋_GB2312"/>
                <w:color w:val="000000"/>
                <w:sz w:val="18"/>
                <w:szCs w:val="18"/>
              </w:rPr>
              <w:t>向社会公示。</w:t>
            </w:r>
          </w:p>
        </w:tc>
        <w:tc>
          <w:tcPr>
            <w:tcW w:w="3118" w:type="dxa"/>
            <w:tcBorders>
              <w:tl2br w:val="nil"/>
              <w:tr2bl w:val="nil"/>
            </w:tcBorders>
            <w:vAlign w:val="center"/>
          </w:tcPr>
          <w:p w14:paraId="3E2DA858">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秦皇岛市市场监督管理局在外资企业登记备案过程中有违法行为的，依法责令改正；有关工作人员应当承担责任的，依法给予行政处分。</w:t>
            </w:r>
          </w:p>
        </w:tc>
        <w:tc>
          <w:tcPr>
            <w:tcW w:w="567" w:type="dxa"/>
            <w:tcBorders>
              <w:tl2br w:val="nil"/>
              <w:tr2bl w:val="nil"/>
            </w:tcBorders>
            <w:vAlign w:val="center"/>
          </w:tcPr>
          <w:p w14:paraId="57DC830B">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p>
        </w:tc>
      </w:tr>
      <w:tr w14:paraId="45F71E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957" w:hRule="atLeast"/>
        </w:trPr>
        <w:tc>
          <w:tcPr>
            <w:tcW w:w="526" w:type="dxa"/>
            <w:tcBorders>
              <w:tl2br w:val="nil"/>
              <w:tr2bl w:val="nil"/>
            </w:tcBorders>
            <w:vAlign w:val="center"/>
          </w:tcPr>
          <w:p w14:paraId="01114F47">
            <w:pPr>
              <w:keepNext w:val="0"/>
              <w:keepLines w:val="0"/>
              <w:pageBreakBefore w:val="0"/>
              <w:widowControl/>
              <w:kinsoku/>
              <w:wordWrap/>
              <w:overflowPunct/>
              <w:topLinePunct w:val="0"/>
              <w:autoSpaceDE/>
              <w:autoSpaceDN/>
              <w:bidi w:val="0"/>
              <w:adjustRightInd/>
              <w:snapToGrid/>
              <w:spacing w:beforeLines="0" w:afterLines="0" w:line="240" w:lineRule="exact"/>
              <w:jc w:val="center"/>
              <w:textAlignment w:val="auto"/>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lang w:val="en-US" w:eastAsia="zh-CN"/>
              </w:rPr>
              <w:t>2</w:t>
            </w:r>
          </w:p>
        </w:tc>
        <w:tc>
          <w:tcPr>
            <w:tcW w:w="850" w:type="dxa"/>
            <w:tcBorders>
              <w:tl2br w:val="nil"/>
              <w:tr2bl w:val="nil"/>
            </w:tcBorders>
            <w:tcMar>
              <w:top w:w="0" w:type="dxa"/>
              <w:left w:w="0" w:type="dxa"/>
              <w:bottom w:w="0" w:type="dxa"/>
              <w:right w:w="0" w:type="dxa"/>
            </w:tcMar>
            <w:vAlign w:val="center"/>
          </w:tcPr>
          <w:p w14:paraId="269BB09A">
            <w:pPr>
              <w:keepNext w:val="0"/>
              <w:keepLines w:val="0"/>
              <w:pageBreakBefore w:val="0"/>
              <w:widowControl/>
              <w:kinsoku/>
              <w:wordWrap/>
              <w:overflowPunct/>
              <w:topLinePunct w:val="0"/>
              <w:autoSpaceDE/>
              <w:autoSpaceDN/>
              <w:bidi w:val="0"/>
              <w:adjustRightInd/>
              <w:snapToGrid/>
              <w:spacing w:beforeLines="0" w:afterLines="0" w:line="240" w:lineRule="exact"/>
              <w:jc w:val="center"/>
              <w:textAlignment w:val="auto"/>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lang w:eastAsia="zh-CN"/>
              </w:rPr>
              <w:t>行政备案</w:t>
            </w:r>
          </w:p>
        </w:tc>
        <w:tc>
          <w:tcPr>
            <w:tcW w:w="1134" w:type="dxa"/>
            <w:tcBorders>
              <w:tl2br w:val="nil"/>
              <w:tr2bl w:val="nil"/>
            </w:tcBorders>
            <w:vAlign w:val="center"/>
          </w:tcPr>
          <w:p w14:paraId="491C0928">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国产非特殊用途化妆品备案</w:t>
            </w:r>
          </w:p>
        </w:tc>
        <w:tc>
          <w:tcPr>
            <w:tcW w:w="3118" w:type="dxa"/>
            <w:tcBorders>
              <w:tl2br w:val="nil"/>
              <w:tr2bl w:val="nil"/>
            </w:tcBorders>
            <w:vAlign w:val="center"/>
          </w:tcPr>
          <w:p w14:paraId="2DDCAD55">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1.《化妆品监督管理条例》（国务院令第727号，2021年1月1日起实施）第四条“国家按照风险程度对化妆品、化妆品原料实行分类管理。</w:t>
            </w:r>
          </w:p>
          <w:p w14:paraId="332809C8">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化妆品分为特殊化妆品和普通化妆品。国家对特殊化妆品实行注册管理，对普通化妆品实行备案管理。 ”</w:t>
            </w:r>
          </w:p>
          <w:p w14:paraId="55BD8C71">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2.《关于调整化妆品注册备案管理有关事宜的通告》（国家食品药品监督管理总局通告2013年第10号）第一部分：《国家食品药品监督管理总局关于调整化妆品注册备案管理有关事宜的通告》（2013年 第10号）：自2014年6月30日起，国产非特殊用途化妆品生产企业应当在产品上市前，按照《国产非特殊用途化妆品备案要求》（附件1），对产品信息进行网上备案。备案的产品信息经省级食品药品监管部门确认后在食品药品监管总局政务网站统一公布，供公众查询，省级食品药品监管部门不再发放国产非特殊用途化妆品备案凭证。省级食品药品监管部门应当在备案后3个月内组织开展对备案产品的检查，发现不符合要求的，责令改正；发现违法的，依法立案查处，并在产品备案信息相关栏目予以标注。未按要求履行国产非特殊用途化妆品上市前产品信息报备义务的，依照《化妆品卫生监督条例实施细则》第四十五条第七</w:t>
            </w:r>
            <w:bookmarkStart w:id="0" w:name="_GoBack"/>
            <w:r>
              <w:rPr>
                <w:rFonts w:hint="eastAsia" w:ascii="仿宋_GB2312" w:hAnsi="仿宋_GB2312" w:eastAsia="仿宋_GB2312" w:cs="仿宋_GB2312"/>
                <w:color w:val="000000"/>
                <w:sz w:val="18"/>
                <w:szCs w:val="18"/>
                <w:lang w:eastAsia="zh-CN"/>
              </w:rPr>
              <w:t>项的</w:t>
            </w:r>
            <w:bookmarkEnd w:id="0"/>
            <w:r>
              <w:rPr>
                <w:rFonts w:hint="eastAsia" w:ascii="仿宋_GB2312" w:hAnsi="仿宋_GB2312" w:eastAsia="仿宋_GB2312" w:cs="仿宋_GB2312"/>
                <w:color w:val="000000"/>
                <w:sz w:val="18"/>
                <w:szCs w:val="18"/>
              </w:rPr>
              <w:t xml:space="preserve">相关规定处理。 </w:t>
            </w:r>
          </w:p>
          <w:p w14:paraId="39E2952B">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3.《河北省人民政府关于同意将部分省级药品监管行政权力事项委托市级实施的批复》（冀政字﹝2018﹞66号）第一部分。</w:t>
            </w:r>
          </w:p>
        </w:tc>
        <w:tc>
          <w:tcPr>
            <w:tcW w:w="1134" w:type="dxa"/>
            <w:tcBorders>
              <w:tl2br w:val="nil"/>
              <w:tr2bl w:val="nil"/>
            </w:tcBorders>
            <w:tcMar>
              <w:left w:w="0" w:type="dxa"/>
              <w:right w:w="0" w:type="dxa"/>
            </w:tcMar>
            <w:vAlign w:val="center"/>
          </w:tcPr>
          <w:p w14:paraId="70D94C76">
            <w:pPr>
              <w:keepNext w:val="0"/>
              <w:keepLines w:val="0"/>
              <w:pageBreakBefore w:val="0"/>
              <w:widowControl/>
              <w:kinsoku/>
              <w:wordWrap/>
              <w:overflowPunct/>
              <w:topLinePunct w:val="0"/>
              <w:autoSpaceDE/>
              <w:autoSpaceDN/>
              <w:bidi w:val="0"/>
              <w:adjustRightInd/>
              <w:snapToGrid/>
              <w:spacing w:beforeLines="0" w:afterLines="0" w:line="240" w:lineRule="exact"/>
              <w:jc w:val="center"/>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河北省市场监督管理局</w:t>
            </w:r>
          </w:p>
        </w:tc>
        <w:tc>
          <w:tcPr>
            <w:tcW w:w="964" w:type="dxa"/>
            <w:tcBorders>
              <w:tl2br w:val="nil"/>
              <w:tr2bl w:val="nil"/>
            </w:tcBorders>
            <w:tcMar>
              <w:top w:w="0" w:type="dxa"/>
              <w:left w:w="0" w:type="dxa"/>
              <w:bottom w:w="0" w:type="dxa"/>
              <w:right w:w="0" w:type="dxa"/>
            </w:tcMar>
            <w:vAlign w:val="center"/>
          </w:tcPr>
          <w:p w14:paraId="39030BAB">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市级</w:t>
            </w:r>
          </w:p>
        </w:tc>
        <w:tc>
          <w:tcPr>
            <w:tcW w:w="3685" w:type="dxa"/>
            <w:tcBorders>
              <w:tl2br w:val="nil"/>
              <w:tr2bl w:val="nil"/>
            </w:tcBorders>
            <w:vAlign w:val="center"/>
          </w:tcPr>
          <w:p w14:paraId="65AB51CB">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受理责任：委托各市对辖区内国产非特殊用途化妆品生产企业提交的产品备案的信息进行初审、复核，由省药监局药品审评中心进行确认。确认后，在食品药品监管总局政务网站统一公布产品部分信息，供公众查询。</w:t>
            </w:r>
          </w:p>
          <w:p w14:paraId="1DF7C76B">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审查责任：对于不属于备案产品范围的、备案信息不齐全或不符合规定形式的，在5个工作日内告知企业并说明理由。在备案信息初审、复核、确认过程中发现产品存在明显违法情形的，对尚未上市销售的产品，应当责令改正；对已经上市销售的产品，应当依法予以查处，并在产品备案信息相关栏目予以标注。</w:t>
            </w:r>
          </w:p>
          <w:p w14:paraId="04869EB8">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3.事后管理责任：委托市级化妆品监管部门在备案后3个月内开展对备案产品的检查，发现不符合要求的，责令改正；发现违法的，依法立案查处，并在产品备案信息相关栏目予以标注。</w:t>
            </w:r>
          </w:p>
        </w:tc>
        <w:tc>
          <w:tcPr>
            <w:tcW w:w="3118" w:type="dxa"/>
            <w:tcBorders>
              <w:tl2br w:val="nil"/>
              <w:tr2bl w:val="nil"/>
            </w:tcBorders>
            <w:vAlign w:val="center"/>
          </w:tcPr>
          <w:p w14:paraId="519AF593">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市级市场监管部门在国产非特殊用途化妆品备案过程中有违法行为的，依法责令改正；有关工作人员应当承担责任的，依法给予处分，造成严重后果，构成犯罪的，由司法机关依法追究刑事责任。</w:t>
            </w:r>
          </w:p>
        </w:tc>
        <w:tc>
          <w:tcPr>
            <w:tcW w:w="567" w:type="dxa"/>
            <w:tcBorders>
              <w:tl2br w:val="nil"/>
              <w:tr2bl w:val="nil"/>
            </w:tcBorders>
            <w:vAlign w:val="center"/>
          </w:tcPr>
          <w:p w14:paraId="0A279186">
            <w:pPr>
              <w:keepNext w:val="0"/>
              <w:keepLines w:val="0"/>
              <w:pageBreakBefore w:val="0"/>
              <w:widowControl/>
              <w:kinsoku/>
              <w:wordWrap/>
              <w:overflowPunct/>
              <w:topLinePunct w:val="0"/>
              <w:autoSpaceDE/>
              <w:autoSpaceDN/>
              <w:bidi w:val="0"/>
              <w:adjustRightInd/>
              <w:snapToGrid/>
              <w:spacing w:beforeLines="0" w:afterLines="0" w:line="240" w:lineRule="exact"/>
              <w:jc w:val="both"/>
              <w:textAlignment w:val="auto"/>
              <w:rPr>
                <w:rFonts w:hint="eastAsia" w:ascii="仿宋_GB2312" w:hAnsi="仿宋_GB2312" w:eastAsia="仿宋_GB2312" w:cs="仿宋_GB2312"/>
                <w:color w:val="000000"/>
                <w:sz w:val="18"/>
                <w:szCs w:val="18"/>
              </w:rPr>
            </w:pPr>
          </w:p>
        </w:tc>
      </w:tr>
    </w:tbl>
    <w:p w14:paraId="6BB280BB"/>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CA31E5"/>
    <w:rsid w:val="0D514370"/>
    <w:rsid w:val="52CA31E5"/>
    <w:rsid w:val="747D3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1483</Words>
  <Characters>1532</Characters>
  <Lines>0</Lines>
  <Paragraphs>0</Paragraphs>
  <TotalTime>0</TotalTime>
  <ScaleCrop>false</ScaleCrop>
  <LinksUpToDate>false</LinksUpToDate>
  <CharactersWithSpaces>1535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2022-10-25T02:23:00Z</dcterms:created>
  <dc:creator>Administrator</dc:creator>
  <cp:lastModifiedBy>D调的华丽</cp:lastModifiedBy>
  <dcterms:modified xsi:type="dcterms:W3CDTF">2025-07-28T08:02:05Z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eyJoZGlkIjoiMTBmYmEzNmI2YTFjNzA5M2VkODkxNzc0YjEwZGQxMjgiLCJ1c2VySWQiOiIxMDM4ODI1NDIyIn0=</vt:lpwstr>
  </property>
  <property fmtid="{D5CDD505-2E9C-101B-9397-08002B2CF9AE}" pid="4" name="ICV">
    <vt:lpwstr>AD78418312104326A836855A4550ACDA_12</vt:lpwstr>
  </property>
</Properties>
</file>