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22F85">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58E0DBEE">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78C62626">
      <w:pPr>
        <w:keepNext w:val="0"/>
        <w:keepLines w:val="0"/>
        <w:pageBreakBefore w:val="0"/>
        <w:kinsoku/>
        <w:wordWrap w:val="0"/>
        <w:overflowPunct/>
        <w:topLinePunct w:val="0"/>
        <w:bidi w:val="0"/>
        <w:snapToGrid w:val="0"/>
        <w:spacing w:line="560" w:lineRule="exact"/>
        <w:ind w:left="0" w:right="0" w:rightChars="0"/>
        <w:jc w:val="center"/>
        <w:rPr>
          <w:rFonts w:hint="eastAsia" w:ascii="仿宋_GB2312" w:hAnsi="仿宋_GB2312" w:eastAsia="仿宋_GB2312" w:cs="仿宋_GB2312"/>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hint="eastAsia" w:ascii="仿宋_GB2312" w:hAnsi="仿宋_GB2312" w:eastAsia="仿宋_GB2312" w:cs="仿宋_GB2312"/>
          <w:color w:val="000000"/>
          <w:sz w:val="32"/>
          <w:szCs w:val="32"/>
        </w:rPr>
        <w:t>冀市监秦处〔2025〕</w:t>
      </w:r>
      <w:r>
        <w:rPr>
          <w:rFonts w:hint="eastAsia" w:ascii="仿宋_GB2312" w:hAnsi="仿宋_GB2312" w:eastAsia="仿宋_GB2312" w:cs="仿宋_GB2312"/>
          <w:color w:val="000000" w:themeColor="text1"/>
          <w:sz w:val="32"/>
          <w:szCs w:val="32"/>
        </w:rPr>
        <w:t>13030125000041</w:t>
      </w:r>
      <w:r>
        <w:rPr>
          <w:rFonts w:hint="eastAsia" w:ascii="仿宋_GB2312" w:hAnsi="仿宋_GB2312" w:eastAsia="仿宋_GB2312" w:cs="仿宋_GB2312"/>
          <w:sz w:val="32"/>
          <w:szCs w:val="32"/>
        </w:rPr>
        <w:t>号</w:t>
      </w:r>
    </w:p>
    <w:p w14:paraId="4071235B">
      <w:pPr>
        <w:keepNext w:val="0"/>
        <w:keepLines w:val="0"/>
        <w:pageBreakBefore w:val="0"/>
        <w:kinsoku/>
        <w:overflowPunct/>
        <w:topLinePunct w:val="0"/>
        <w:bidi w:val="0"/>
        <w:spacing w:line="560" w:lineRule="exact"/>
        <w:ind w:left="0" w:right="0" w:rightChars="0"/>
        <w:rPr>
          <w:rFonts w:hint="eastAsia" w:ascii="仿宋_GB2312" w:hAnsi="仿宋_GB2312" w:eastAsia="仿宋_GB2312" w:cs="仿宋_GB2312"/>
          <w:sz w:val="32"/>
          <w:szCs w:val="32"/>
        </w:rPr>
      </w:pPr>
    </w:p>
    <w:p w14:paraId="01F9D6E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当事人：秦皇岛跨乐贸易有限公司；</w:t>
      </w:r>
    </w:p>
    <w:p w14:paraId="0D5F06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主体资格证照名称：营业执照；                                    </w:t>
      </w:r>
    </w:p>
    <w:p w14:paraId="4E6A609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统一社会信用代码：91130301MACTDQT44B；                                  </w:t>
      </w:r>
    </w:p>
    <w:p w14:paraId="450823F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lang w:eastAsia="zh-CN"/>
        </w:rPr>
        <w:t>秦皇岛经济技术开发区</w:t>
      </w:r>
      <w:r>
        <w:rPr>
          <w:rFonts w:hint="eastAsia" w:ascii="仿宋_GB2312" w:hAnsi="仿宋_GB2312" w:eastAsia="仿宋_GB2312" w:cs="仿宋_GB2312"/>
          <w:sz w:val="32"/>
          <w:szCs w:val="32"/>
        </w:rPr>
        <w:t xml:space="preserve">华苑馨居26-2号；                                               </w:t>
      </w:r>
    </w:p>
    <w:p w14:paraId="43FF73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法定代表人（负责人、经营者）：林敏辉；                                        </w:t>
      </w:r>
    </w:p>
    <w:p w14:paraId="66C65BB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33262319700*******</w:t>
      </w:r>
      <w:bookmarkStart w:id="0" w:name="_GoBack"/>
      <w:bookmarkEnd w:id="0"/>
      <w:r>
        <w:rPr>
          <w:rFonts w:hint="eastAsia" w:ascii="仿宋_GB2312" w:hAnsi="仿宋_GB2312" w:eastAsia="仿宋_GB2312" w:cs="仿宋_GB2312"/>
          <w:sz w:val="32"/>
          <w:szCs w:val="32"/>
        </w:rPr>
        <w:t xml:space="preserve">。                                                                                </w:t>
      </w:r>
    </w:p>
    <w:p w14:paraId="7C5117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本案来源于上级交办。2025年6月3日，秦皇岛市市场监督管理局经济技术开发区分局两名执法人员依据上级交办的违法线索以及相关的证据资料对当事人位于</w:t>
      </w:r>
      <w:r>
        <w:rPr>
          <w:rFonts w:hint="eastAsia" w:ascii="仿宋_GB2312" w:hAnsi="仿宋_GB2312" w:eastAsia="仿宋_GB2312" w:cs="仿宋_GB2312"/>
          <w:sz w:val="32"/>
          <w:szCs w:val="32"/>
          <w:lang w:eastAsia="zh-CN"/>
        </w:rPr>
        <w:t>秦皇岛经济技术开发区</w:t>
      </w:r>
      <w:r>
        <w:rPr>
          <w:rFonts w:hint="eastAsia" w:ascii="仿宋_GB2312" w:hAnsi="仿宋_GB2312" w:eastAsia="仿宋_GB2312" w:cs="仿宋_GB2312"/>
          <w:sz w:val="32"/>
          <w:szCs w:val="32"/>
        </w:rPr>
        <w:t>华苑馨居26-2号的经营场所进行了现场检查，当事人现场负责人在现场全程配合检查并提供了当事人营业执照等相关的证明资料。当事人对执法人员出示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违法线索及其证据资料</w:t>
      </w:r>
      <w:r>
        <w:rPr>
          <w:rFonts w:hint="eastAsia" w:ascii="仿宋_GB2312" w:hAnsi="仿宋_GB2312" w:eastAsia="仿宋_GB2312" w:cs="仿宋_GB2312"/>
          <w:sz w:val="32"/>
          <w:szCs w:val="32"/>
          <w:lang w:eastAsia="zh-CN"/>
        </w:rPr>
        <w:t>无异议，予以认可</w:t>
      </w:r>
      <w:r>
        <w:rPr>
          <w:rFonts w:hint="eastAsia" w:ascii="仿宋_GB2312" w:hAnsi="仿宋_GB2312" w:eastAsia="仿宋_GB2312" w:cs="仿宋_GB2312"/>
          <w:sz w:val="32"/>
          <w:szCs w:val="32"/>
        </w:rPr>
        <w:t>。为进一步调查案情，经分局部门负责人批准，本局于2025年6月12日予以立案调查。</w:t>
      </w:r>
    </w:p>
    <w:p w14:paraId="5DD22A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2024年5月7日，当事人由杭州贝时乐网络科技有限公司采购“法国贝德玛卸妆水舒妍多效洁肤液500ML”数量：3瓶，进货价格：42.55元/瓶，进货金额：127.65元。自2024年5月28日开始，当事人通过在美团网设立的“京东便利店（开发区店）”网店销售上述商品。当事人通过互联网搜索到标注“专利证号200480041666.6”内容的“法国贝德玛卸妆水舒妍多效洁肤液”销售图片后，转载至其设立的“京东便利店（开发区店）”网店对该款商品进行广告宣传使用。经查询，当事人在上述广告中使用的“专利证号200480041666.6”基本信息：申请号/专利号：200480041666.6；发明名称：生物相容盖伦基质的新配制方法；申请人：吉恩-诺埃尔.托雷尔；专利类型：发明专利；申请日：2004-12-23；发明专利申请公布号：CN1913863A；授权公告号：CN100525741B；法律状态：专利终止；案件状态：届满终止失效；授权公告日：2009-08-12；主分类号：A61K8/34；该发明专利已经届满终止失效。该专利届满终止失效后，当事人未及时对该广告内容进行修改，停止使用该专利内容。鉴于当事人的上述行为，2025年6月3日，本局向当事人下达了《责令改正通知书》（秦市监责改</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 xml:space="preserve"> 综27号），责令当事人立即予以改正。</w:t>
      </w:r>
    </w:p>
    <w:p w14:paraId="060D84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3日，当事人对在“京东便利店（开发区店）”网店所销售的上述商品以及相关宣传内容进行下架删除、停止销售处理，主动消除影响；当事人就开展经营活动中存在的上述问题向本局提交了《整改报告》并制定了整改措施；当事人在规定的期限内对开展经营活动中存在的上述问题进行了改正。当事人提供了所销售上述商品的供货者营业执照以及相关的证明资料，说明了其进货来源。在调查期间未对当事人实施行政强制措施。</w:t>
      </w:r>
    </w:p>
    <w:p w14:paraId="41847A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14:paraId="74FCE7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1.当事人营业执照、法定代表人林敏辉身份证复印件各一份；证明了当事人的基本信息以及法定代表人的身份信息等相关事项。</w:t>
      </w:r>
    </w:p>
    <w:p w14:paraId="245EA3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2.当事人为授权委托人出具的授权委托书一份；受托人身份证复印件一份；证明了受托人身份信息以及当事人委托的真实性以及委托权限等相关事项。                       </w:t>
      </w:r>
    </w:p>
    <w:p w14:paraId="62ED8D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秦皇岛市市场监督管理局网络交易和广告监督管理科交办的证据资料</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val="zh-CN"/>
        </w:rPr>
        <w:t>；证明了当事人</w:t>
      </w:r>
      <w:r>
        <w:rPr>
          <w:rFonts w:hint="eastAsia" w:ascii="仿宋_GB2312" w:hAnsi="仿宋_GB2312" w:eastAsia="仿宋_GB2312" w:cs="仿宋_GB2312"/>
          <w:sz w:val="32"/>
          <w:szCs w:val="32"/>
        </w:rPr>
        <w:t>使用已经终止的专利作广告违法行为</w:t>
      </w:r>
      <w:r>
        <w:rPr>
          <w:rFonts w:hint="eastAsia" w:ascii="仿宋_GB2312" w:hAnsi="仿宋_GB2312" w:eastAsia="仿宋_GB2312" w:cs="仿宋_GB2312"/>
          <w:sz w:val="32"/>
          <w:szCs w:val="32"/>
          <w:lang w:val="zh-CN"/>
        </w:rPr>
        <w:t>的线索来源等相关事项。</w:t>
      </w:r>
    </w:p>
    <w:p w14:paraId="12E103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对当事人经营场所现场笔录一份、现场检查照片打印件</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份；对当事人授权委托人所做询问笔录一份；当事人</w:t>
      </w:r>
      <w:r>
        <w:rPr>
          <w:rFonts w:hint="eastAsia" w:ascii="仿宋_GB2312" w:hAnsi="仿宋_GB2312" w:eastAsia="仿宋_GB2312" w:cs="仿宋_GB2312"/>
          <w:sz w:val="32"/>
          <w:szCs w:val="32"/>
        </w:rPr>
        <w:t>交易记录截图一</w:t>
      </w:r>
      <w:r>
        <w:rPr>
          <w:rFonts w:hint="eastAsia" w:ascii="仿宋_GB2312" w:hAnsi="仿宋_GB2312" w:eastAsia="仿宋_GB2312" w:cs="仿宋_GB2312"/>
          <w:sz w:val="32"/>
          <w:szCs w:val="32"/>
          <w:lang w:val="zh-CN"/>
        </w:rPr>
        <w:t>份；供货者</w:t>
      </w:r>
      <w:r>
        <w:rPr>
          <w:rFonts w:hint="eastAsia" w:ascii="仿宋_GB2312" w:hAnsi="仿宋_GB2312" w:eastAsia="仿宋_GB2312" w:cs="仿宋_GB2312"/>
          <w:sz w:val="32"/>
          <w:szCs w:val="32"/>
        </w:rPr>
        <w:t>杭州贝时乐网络科技有限公司</w:t>
      </w:r>
      <w:r>
        <w:rPr>
          <w:rFonts w:hint="eastAsia" w:ascii="仿宋_GB2312" w:hAnsi="仿宋_GB2312" w:eastAsia="仿宋_GB2312" w:cs="仿宋_GB2312"/>
          <w:sz w:val="32"/>
          <w:szCs w:val="32"/>
          <w:lang w:val="zh-CN"/>
        </w:rPr>
        <w:t>营业执照复印件一份；</w:t>
      </w:r>
      <w:r>
        <w:rPr>
          <w:rFonts w:hint="eastAsia" w:ascii="仿宋_GB2312" w:hAnsi="仿宋_GB2312" w:eastAsia="仿宋_GB2312" w:cs="仿宋_GB2312"/>
          <w:sz w:val="32"/>
          <w:szCs w:val="32"/>
        </w:rPr>
        <w:t>中华人民共和国出入境检验检疫入境货物检验检疫证明和中华人民共和国海关进口货物报关单各一份；</w:t>
      </w:r>
      <w:r>
        <w:rPr>
          <w:rFonts w:hint="eastAsia" w:ascii="仿宋_GB2312" w:hAnsi="仿宋_GB2312" w:eastAsia="仿宋_GB2312" w:cs="仿宋_GB2312"/>
          <w:sz w:val="32"/>
          <w:szCs w:val="32"/>
          <w:lang w:val="zh-CN"/>
        </w:rPr>
        <w:t>证明了当事人开展经营活动以及</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的违法事实、进货来源等相关事项。</w:t>
      </w:r>
    </w:p>
    <w:p w14:paraId="5BF23D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5.对当事人发布广告中所使用的专利查询记录打印件一份；证明了该专利已经届满终止失效的真实性等相关事项。</w:t>
      </w:r>
    </w:p>
    <w:p w14:paraId="7D3DFC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.对当事人下达的《责令改正通知书》以及当事人整改报告、整改后图片打印件各一份，证明了本局对当事人</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的违法行为进行责令限期改正以及当事人进行改正的相关事项。</w:t>
      </w:r>
    </w:p>
    <w:p w14:paraId="31ADC2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2025年7月10日，本局向当事人送达了《行政处罚告知书》（秦市监罚告</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13030125000041号），告知了本局拟作出行政处罚的内容及事实、理由、依据，当事人自收到该告知书之日起五个工作日内未行使陈述、申辩权。</w:t>
      </w:r>
    </w:p>
    <w:p w14:paraId="45F6B7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本局认为，当事人的上述行为违反了</w:t>
      </w:r>
      <w:r>
        <w:rPr>
          <w:rFonts w:hint="eastAsia" w:ascii="仿宋_GB2312" w:hAnsi="仿宋_GB2312" w:eastAsia="仿宋_GB2312" w:cs="仿宋_GB2312"/>
          <w:sz w:val="32"/>
          <w:szCs w:val="32"/>
          <w:lang w:val="zh-CN"/>
        </w:rPr>
        <w:t>《中华人民共和国广告法》第十</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条第</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“禁止使用未授予专利权的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"https://www.66law.cn/special/zlsq/" \t "https://www.66law.cn/tiaoli/_blank" \o "专利申请"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专利申请</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和已经终止、撤销、无效的专利作广告的规定”，属于</w:t>
      </w:r>
      <w:r>
        <w:rPr>
          <w:rFonts w:hint="eastAsia" w:ascii="仿宋_GB2312" w:hAnsi="仿宋_GB2312" w:eastAsia="仿宋_GB2312" w:cs="仿宋_GB2312"/>
          <w:sz w:val="32"/>
          <w:szCs w:val="32"/>
        </w:rPr>
        <w:t>使用已经终止的专利作广告</w:t>
      </w:r>
      <w:r>
        <w:rPr>
          <w:rFonts w:hint="eastAsia" w:ascii="仿宋_GB2312" w:hAnsi="仿宋_GB2312" w:eastAsia="仿宋_GB2312" w:cs="仿宋_GB2312"/>
          <w:sz w:val="32"/>
          <w:szCs w:val="32"/>
          <w:lang w:val="zh-CN"/>
        </w:rPr>
        <w:t>的违法行为。</w:t>
      </w:r>
      <w:r>
        <w:rPr>
          <w:rFonts w:hint="eastAsia" w:ascii="仿宋_GB2312" w:hAnsi="仿宋_GB2312" w:eastAsia="仿宋_GB2312" w:cs="仿宋_GB2312"/>
          <w:sz w:val="32"/>
          <w:szCs w:val="32"/>
        </w:rPr>
        <w:t xml:space="preserve">                                                                  </w:t>
      </w:r>
    </w:p>
    <w:p w14:paraId="286D55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当事人使用已经终止的专利作广告的违法行为违反了《中华人民共和国广告法》第十二条第三款的规定，依据《中华人民共和国广告法》第五十九条第一款第（三）项的规定，</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予以行政处罚。鉴于当事人事后积极配合市场监督管理部门调查，如实陈述违法事实，并主动提供证据材料；当事人主动对所销售的上述商品以及相关宣传内容进行下架删除、停止销售处理，主动消除影响。参照《河北省市场监督管理系统行政裁量权基准（2024年版）》第30《中华人民共和国广告法》行政处罚裁量权基准序号第26项、《河北省市场监督管理系统行政处罚裁量权适用规则》第十五条第（二）项的规定，对当事人可以依法从轻行政处罚。</w:t>
      </w:r>
    </w:p>
    <w:p w14:paraId="117954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结合案件实际情况，经综合考量对当事人从轻行政处罚。</w:t>
      </w:r>
    </w:p>
    <w:p w14:paraId="78A58E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当事人的上述行为违反了《中华人民共和国广告法》第十二条第三款的规定，依据《中华人民共和国广告法》第五十九条第一款：“有下列行为之一的，由市场监督管理部门责令停止发布广告，对广告主处十万元以下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涉及专利的广告违反本法第十二条规定的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的规定，参照《河北省市场监督管理系统行政裁量权基准（2024年版）》第30《中华人民共和国广告法》行政处罚裁量权基准序号第26项、《河北省市场监督管理系统行政处罚裁量权适用规则》第十五条第（二）项的规定，责令当事人改正上述违法行为，并决定处罚如下：                                                              </w:t>
      </w:r>
    </w:p>
    <w:p w14:paraId="29A89D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罚款人民币贰仟元整（2000元）。                                                                                                                       </w:t>
      </w:r>
    </w:p>
    <w:p w14:paraId="5F6AD9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 xml:space="preserve">加处罚款，并依法申请人民法院强制执行。                                                                                                                                                           </w:t>
      </w:r>
    </w:p>
    <w:p w14:paraId="57BA5E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4324F5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本局将依法向社会公示本行政处罚决定信息。              </w:t>
      </w:r>
    </w:p>
    <w:p w14:paraId="4C5FEF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F3A9F2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秦皇岛市市场监督管理局</w:t>
      </w:r>
      <w:r>
        <w:rPr>
          <w:rFonts w:hint="eastAsia" w:ascii="仿宋_GB2312" w:hAnsi="仿宋_GB2312" w:eastAsia="仿宋_GB2312" w:cs="仿宋_GB2312"/>
          <w:sz w:val="32"/>
          <w:szCs w:val="32"/>
          <w:lang w:val="en-US" w:eastAsia="zh-CN"/>
        </w:rPr>
        <w:t xml:space="preserve">    </w:t>
      </w:r>
    </w:p>
    <w:p w14:paraId="34C29FAA">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2025年7月21日</w:t>
      </w:r>
      <w:r>
        <w:rPr>
          <w:rFonts w:hint="eastAsia" w:ascii="仿宋_GB2312" w:hAnsi="仿宋_GB2312" w:eastAsia="仿宋_GB2312" w:cs="仿宋_GB2312"/>
          <w:sz w:val="32"/>
          <w:szCs w:val="32"/>
          <w:lang w:val="en-US" w:eastAsia="zh-CN"/>
        </w:rPr>
        <w:t xml:space="preserve">  </w:t>
      </w:r>
    </w:p>
    <w:p w14:paraId="6BB7732E">
      <w:pPr>
        <w:keepNext w:val="0"/>
        <w:keepLines w:val="0"/>
        <w:pageBreakBefore w:val="0"/>
        <w:widowControl w:val="0"/>
        <w:kinsoku/>
        <w:wordWrap w:val="0"/>
        <w:overflowPunct/>
        <w:topLinePunct w:val="0"/>
        <w:autoSpaceDE/>
        <w:autoSpaceDN/>
        <w:bidi w:val="0"/>
        <w:adjustRightInd/>
        <w:snapToGrid w:val="0"/>
        <w:spacing w:line="540" w:lineRule="exact"/>
        <w:ind w:left="0" w:right="0" w:rightChars="0"/>
        <w:jc w:val="both"/>
        <w:textAlignment w:val="auto"/>
        <w:rPr>
          <w:rFonts w:hint="eastAsia" w:ascii="仿宋_GB2312" w:hAnsi="仿宋_GB2312" w:eastAsia="仿宋_GB2312" w:cs="仿宋_GB2312"/>
          <w:b/>
          <w:bCs/>
          <w:color w:val="000000"/>
          <w:sz w:val="32"/>
          <w:szCs w:val="32"/>
        </w:rPr>
      </w:pPr>
    </w:p>
    <w:p w14:paraId="54C9D062">
      <w:pPr>
        <w:keepNext w:val="0"/>
        <w:keepLines w:val="0"/>
        <w:pageBreakBefore w:val="0"/>
        <w:kinsoku/>
        <w:wordWrap w:val="0"/>
        <w:overflowPunct/>
        <w:topLinePunct w:val="0"/>
        <w:bidi w:val="0"/>
        <w:snapToGrid w:val="0"/>
        <w:spacing w:line="540" w:lineRule="exact"/>
        <w:ind w:left="0" w:right="0" w:rightChars="0"/>
        <w:jc w:val="both"/>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b/>
          <w:bCs/>
          <w:color w:val="000000"/>
          <w:sz w:val="32"/>
          <w:szCs w:val="32"/>
        </w:rPr>
        <w:t>（市场监督管理部门将依法向社会公示本行政处罚决定信息）</w:t>
      </w:r>
    </w:p>
    <w:p w14:paraId="131B8223">
      <w:pPr>
        <w:keepNext w:val="0"/>
        <w:keepLines w:val="0"/>
        <w:pageBreakBefore w:val="0"/>
        <w:kinsoku/>
        <w:wordWrap w:val="0"/>
        <w:overflowPunct/>
        <w:topLinePunct w:val="0"/>
        <w:bidi w:val="0"/>
        <w:spacing w:line="540" w:lineRule="exact"/>
        <w:ind w:left="0" w:right="0" w:rightChars="0"/>
        <w:jc w:val="both"/>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1C2CFA53">
      <w:pPr>
        <w:keepNext w:val="0"/>
        <w:keepLines w:val="0"/>
        <w:pageBreakBefore w:val="0"/>
        <w:kinsoku/>
        <w:wordWrap w:val="0"/>
        <w:overflowPunct/>
        <w:topLinePunct w:val="0"/>
        <w:bidi w:val="0"/>
        <w:spacing w:line="540" w:lineRule="exact"/>
        <w:ind w:left="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u w:val="single"/>
        </w:rPr>
        <w:t xml:space="preserve">本文书一式 二 份，   一 份送达，一份归档，            </w:t>
      </w:r>
      <w:r>
        <w:rPr>
          <w:rFonts w:hint="eastAsia" w:ascii="仿宋_GB2312" w:hAnsi="仿宋_GB2312" w:eastAsia="仿宋_GB2312" w:cs="仿宋_GB2312"/>
          <w:color w:val="000000"/>
          <w:sz w:val="32"/>
          <w:szCs w:val="32"/>
        </w:rPr>
        <w:t>。</w:t>
      </w:r>
    </w:p>
    <w:sectPr>
      <w:footerReference r:id="rId3" w:type="default"/>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AB65">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6BD9F81">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s>
  <w:rsids>
    <w:rsidRoot w:val="00261B45"/>
    <w:rsid w:val="00020638"/>
    <w:rsid w:val="0003337C"/>
    <w:rsid w:val="00081C4C"/>
    <w:rsid w:val="001315BC"/>
    <w:rsid w:val="0017746D"/>
    <w:rsid w:val="001D64C4"/>
    <w:rsid w:val="0022607E"/>
    <w:rsid w:val="00261B45"/>
    <w:rsid w:val="002954E3"/>
    <w:rsid w:val="002B07B9"/>
    <w:rsid w:val="003861B2"/>
    <w:rsid w:val="003D14F3"/>
    <w:rsid w:val="003E3E80"/>
    <w:rsid w:val="003E59AF"/>
    <w:rsid w:val="00492375"/>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AA342E"/>
    <w:rsid w:val="00B44BED"/>
    <w:rsid w:val="00BD5B48"/>
    <w:rsid w:val="00C14840"/>
    <w:rsid w:val="00C573C9"/>
    <w:rsid w:val="00C80EBC"/>
    <w:rsid w:val="00CE36D2"/>
    <w:rsid w:val="00CE6A5B"/>
    <w:rsid w:val="00DB5217"/>
    <w:rsid w:val="00E12E17"/>
    <w:rsid w:val="00E246BC"/>
    <w:rsid w:val="00E40DEB"/>
    <w:rsid w:val="00EF02BE"/>
    <w:rsid w:val="00FB229E"/>
    <w:rsid w:val="00FF2AD2"/>
    <w:rsid w:val="01A93FA3"/>
    <w:rsid w:val="026223A4"/>
    <w:rsid w:val="042713C4"/>
    <w:rsid w:val="050D125F"/>
    <w:rsid w:val="061848B6"/>
    <w:rsid w:val="07B65961"/>
    <w:rsid w:val="094B6716"/>
    <w:rsid w:val="09E94680"/>
    <w:rsid w:val="0AC266C9"/>
    <w:rsid w:val="0B084B61"/>
    <w:rsid w:val="0B4C75B6"/>
    <w:rsid w:val="0CF34325"/>
    <w:rsid w:val="0D4B051E"/>
    <w:rsid w:val="0EFE2AE5"/>
    <w:rsid w:val="0F95761B"/>
    <w:rsid w:val="10064749"/>
    <w:rsid w:val="10782503"/>
    <w:rsid w:val="10C304B2"/>
    <w:rsid w:val="127759F8"/>
    <w:rsid w:val="1326357C"/>
    <w:rsid w:val="13CC244C"/>
    <w:rsid w:val="159A46FB"/>
    <w:rsid w:val="16051582"/>
    <w:rsid w:val="170C2552"/>
    <w:rsid w:val="17152542"/>
    <w:rsid w:val="17334211"/>
    <w:rsid w:val="18F14FE3"/>
    <w:rsid w:val="19200545"/>
    <w:rsid w:val="1967313B"/>
    <w:rsid w:val="1A073B05"/>
    <w:rsid w:val="1C7A3D0A"/>
    <w:rsid w:val="1CD667D0"/>
    <w:rsid w:val="1D255A10"/>
    <w:rsid w:val="1E937BB8"/>
    <w:rsid w:val="1F1456ED"/>
    <w:rsid w:val="1FA24A0E"/>
    <w:rsid w:val="20522F5E"/>
    <w:rsid w:val="22214E52"/>
    <w:rsid w:val="224705F5"/>
    <w:rsid w:val="225D7F73"/>
    <w:rsid w:val="23627A12"/>
    <w:rsid w:val="237635F6"/>
    <w:rsid w:val="25186BC6"/>
    <w:rsid w:val="26871FB3"/>
    <w:rsid w:val="26FC22A6"/>
    <w:rsid w:val="27802801"/>
    <w:rsid w:val="28465A37"/>
    <w:rsid w:val="288905E5"/>
    <w:rsid w:val="2AB5050B"/>
    <w:rsid w:val="2B5F1D03"/>
    <w:rsid w:val="2C670DBC"/>
    <w:rsid w:val="2CA141C1"/>
    <w:rsid w:val="2CE02D8A"/>
    <w:rsid w:val="2CED6129"/>
    <w:rsid w:val="2D6F4A9D"/>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9A46823"/>
    <w:rsid w:val="3A1C272D"/>
    <w:rsid w:val="3B086DB2"/>
    <w:rsid w:val="3BC059D3"/>
    <w:rsid w:val="3D0A3D8A"/>
    <w:rsid w:val="3F8A20F7"/>
    <w:rsid w:val="41B234F8"/>
    <w:rsid w:val="423A41C8"/>
    <w:rsid w:val="43592C00"/>
    <w:rsid w:val="44612D2C"/>
    <w:rsid w:val="447119F7"/>
    <w:rsid w:val="45BC42A2"/>
    <w:rsid w:val="45DE4E6B"/>
    <w:rsid w:val="4605170A"/>
    <w:rsid w:val="4711663E"/>
    <w:rsid w:val="472B5FDC"/>
    <w:rsid w:val="47B02837"/>
    <w:rsid w:val="47DB5022"/>
    <w:rsid w:val="48105DF6"/>
    <w:rsid w:val="4A857FAB"/>
    <w:rsid w:val="4AC14E81"/>
    <w:rsid w:val="4D0E4C96"/>
    <w:rsid w:val="4D930C30"/>
    <w:rsid w:val="4E5A5650"/>
    <w:rsid w:val="4FA113E3"/>
    <w:rsid w:val="51843D8A"/>
    <w:rsid w:val="52E22C40"/>
    <w:rsid w:val="544C3832"/>
    <w:rsid w:val="556E7FB9"/>
    <w:rsid w:val="558A777C"/>
    <w:rsid w:val="56BF4844"/>
    <w:rsid w:val="578D6226"/>
    <w:rsid w:val="57F54A12"/>
    <w:rsid w:val="58747438"/>
    <w:rsid w:val="58ED5352"/>
    <w:rsid w:val="59BF6F6E"/>
    <w:rsid w:val="5A7B0A82"/>
    <w:rsid w:val="5B124E70"/>
    <w:rsid w:val="5B480E52"/>
    <w:rsid w:val="5C5869BC"/>
    <w:rsid w:val="5C5F565F"/>
    <w:rsid w:val="5C902F0B"/>
    <w:rsid w:val="5CCE3A33"/>
    <w:rsid w:val="5CCE57E1"/>
    <w:rsid w:val="5CDA7BA2"/>
    <w:rsid w:val="5E364898"/>
    <w:rsid w:val="5E6C3504"/>
    <w:rsid w:val="5EB772E6"/>
    <w:rsid w:val="5F9C5F6A"/>
    <w:rsid w:val="60056957"/>
    <w:rsid w:val="602D558B"/>
    <w:rsid w:val="60B31084"/>
    <w:rsid w:val="62C84A71"/>
    <w:rsid w:val="63384043"/>
    <w:rsid w:val="64E654CB"/>
    <w:rsid w:val="65013FCF"/>
    <w:rsid w:val="652E4ACF"/>
    <w:rsid w:val="65845E17"/>
    <w:rsid w:val="659E7FEC"/>
    <w:rsid w:val="66A0294B"/>
    <w:rsid w:val="675853C5"/>
    <w:rsid w:val="676E5BF7"/>
    <w:rsid w:val="680415E3"/>
    <w:rsid w:val="698B4B07"/>
    <w:rsid w:val="69C95843"/>
    <w:rsid w:val="6BF55FC2"/>
    <w:rsid w:val="6C9360FF"/>
    <w:rsid w:val="6CA42644"/>
    <w:rsid w:val="6D626C4C"/>
    <w:rsid w:val="6D761CA9"/>
    <w:rsid w:val="6DFF1C9E"/>
    <w:rsid w:val="6E6A5169"/>
    <w:rsid w:val="6E783501"/>
    <w:rsid w:val="6FC61156"/>
    <w:rsid w:val="6FCF30CF"/>
    <w:rsid w:val="706B361B"/>
    <w:rsid w:val="709D2F56"/>
    <w:rsid w:val="71B4761C"/>
    <w:rsid w:val="722872EA"/>
    <w:rsid w:val="729700AC"/>
    <w:rsid w:val="73011F50"/>
    <w:rsid w:val="74EA5B80"/>
    <w:rsid w:val="773265F5"/>
    <w:rsid w:val="77723E99"/>
    <w:rsid w:val="79361F87"/>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D6AEB-7D4F-4953-8D7C-324EB68812A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2569</Words>
  <Characters>2823</Characters>
  <Lines>13</Lines>
  <Paragraphs>8</Paragraphs>
  <TotalTime>13</TotalTime>
  <ScaleCrop>false</ScaleCrop>
  <LinksUpToDate>false</LinksUpToDate>
  <CharactersWithSpaces>3553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2025-07-21T02:44:00Z</cp:lastPrinted>
  <dcterms:modified xsi:type="dcterms:W3CDTF">2025-07-22T08:49:29Z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