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lang w:eastAsia="zh-CN"/>
        </w:rPr>
        <w:t>秦皇岛市</w:t>
      </w:r>
      <w:r>
        <w:rPr>
          <w:rFonts w:hint="eastAsia" w:ascii="Times New Roman" w:hAnsi="Times New Roman" w:eastAsia="方正小标宋简体" w:cs="方正小标宋简体"/>
          <w:bCs/>
          <w:color w:val="000000"/>
          <w:sz w:val="44"/>
          <w:szCs w:val="44"/>
        </w:rPr>
        <w:t>市场监督管理局</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spacing w:line="640" w:lineRule="exact"/>
        <w:jc w:val="center"/>
        <w:rPr>
          <w:rFonts w:hint="eastAsia" w:ascii="Times New Roman" w:hAnsi="Times New Roman" w:eastAsia="仿宋_GB2312" w:cs="仿宋"/>
          <w:color w:val="000000"/>
          <w:sz w:val="32"/>
          <w:szCs w:val="32"/>
          <w:u w:val="none"/>
          <w:lang w:eastAsia="zh-CN"/>
        </w:rPr>
      </w:pPr>
      <w:r>
        <w:rPr>
          <w:rFonts w:ascii="Times New Roman" w:hAnsi="Times New Roman" w:eastAsia="仿宋_GB2312" w:cs="仿宋"/>
          <w:color w:val="000000"/>
          <w:sz w:val="32"/>
          <w:szCs w:val="32"/>
        </w:rPr>
        <mc:AlternateContent>
          <mc:Choice Requires="wps">
            <w:drawing>
              <wp:anchor distT="0" distB="0" distL="113665" distR="113665" simplePos="0" relativeHeight="251659264" behindDoc="0" locked="0" layoutInCell="1" allowOverlap="1">
                <wp:simplePos x="0" y="0"/>
                <wp:positionH relativeFrom="column">
                  <wp:posOffset>24130</wp:posOffset>
                </wp:positionH>
                <wp:positionV relativeFrom="paragraph">
                  <wp:posOffset>20801965</wp:posOffset>
                </wp:positionV>
                <wp:extent cx="5761990" cy="1270"/>
                <wp:effectExtent l="0" t="0" r="0" b="0"/>
                <wp:wrapNone/>
                <wp:docPr id="1" name="自选图形 53"/>
                <wp:cNvGraphicFramePr/>
                <a:graphic xmlns:a="http://schemas.openxmlformats.org/drawingml/2006/main">
                  <a:graphicData uri="http://schemas.microsoft.com/office/word/2010/wordprocessingShape">
                    <wps:wsp>
                      <wps:cNvCnPr/>
                      <wps:spPr>
                        <a:xfrm>
                          <a:off x="1169670" y="22529164"/>
                          <a:ext cx="5761990" cy="1269"/>
                        </a:xfrm>
                        <a:prstGeom prst="straightConnector1">
                          <a:avLst/>
                        </a:prstGeom>
                        <a:noFill/>
                        <a:ln w="19050" cap="sq"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自选图形 53" o:spid="_x0000_s1026" o:spt="32" type="#_x0000_t32" style="position:absolute;left:0pt;margin-left:1.9pt;margin-top:1637.95pt;height:0.1pt;width:453.7pt;z-index:251659264;mso-width-relative:page;mso-height-relative:page;" filled="f" stroked="t" coordsize="21600,21600" o:gfxdata="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rL5bdsAAAALAQAADwAAAAAAAAABACAAAAAiAAAAZHJzL2Rvd25y&#10;ZXYueG1sUEsBAhQAFAAAAAgAh07iQGvNIVc0AgAAQQQAAA4AAAAAAAAAAQAgAAAAKgEAAGRycy9l&#10;Mm9Eb2MueG1sUEsFBgAAAAAGAAYAWQEAANAFAAAAAA==&#10;">
                <v:fill on="f" focussize="0,0"/>
                <v:stroke weight="1.5pt" color="#000000" joinstyle="round" endcap="square"/>
                <v:imagedata o:title=""/>
                <o:lock v:ext="edit" aspectratio="f"/>
              </v:shape>
            </w:pict>
          </mc:Fallback>
        </mc:AlternateContent>
      </w:r>
      <w:r>
        <w:rPr>
          <w:rFonts w:hint="eastAsia" w:ascii="Times New Roman" w:hAnsi="Times New Roman" w:eastAsia="仿宋_GB2312" w:cs="仿宋"/>
          <w:color w:val="000000"/>
          <w:sz w:val="32"/>
          <w:szCs w:val="32"/>
          <w:lang w:eastAsia="zh-CN"/>
        </w:rPr>
        <w:t>冀</w:t>
      </w:r>
      <w:r>
        <w:rPr>
          <w:rFonts w:ascii="Times New Roman" w:hAnsi="Times New Roman" w:eastAsia="仿宋_GB2312" w:cs="仿宋"/>
          <w:color w:val="000000"/>
          <w:sz w:val="32"/>
          <w:szCs w:val="32"/>
          <w:u w:val="none"/>
          <w:lang w:eastAsia="zh-CN"/>
        </w:rPr>
        <w:t>市监</w:t>
      </w:r>
      <w:r>
        <w:rPr>
          <w:rFonts w:hint="eastAsia" w:ascii="Times New Roman" w:hAnsi="Times New Roman" w:eastAsia="仿宋_GB2312" w:cs="仿宋"/>
          <w:color w:val="000000"/>
          <w:sz w:val="32"/>
          <w:szCs w:val="32"/>
          <w:u w:val="none"/>
          <w:lang w:eastAsia="zh-CN"/>
        </w:rPr>
        <w:t>秦</w:t>
      </w:r>
      <w:r>
        <w:rPr>
          <w:rFonts w:ascii="Times New Roman" w:hAnsi="Times New Roman" w:eastAsia="仿宋_GB2312" w:cs="仿宋"/>
          <w:color w:val="000000"/>
          <w:sz w:val="32"/>
          <w:szCs w:val="32"/>
          <w:u w:val="none"/>
          <w:lang w:eastAsia="zh-CN"/>
        </w:rPr>
        <w:t>处〔202</w:t>
      </w:r>
      <w:r>
        <w:rPr>
          <w:rFonts w:hint="eastAsia" w:ascii="Times New Roman" w:hAnsi="Times New Roman" w:eastAsia="仿宋_GB2312" w:cs="仿宋"/>
          <w:color w:val="000000"/>
          <w:sz w:val="32"/>
          <w:szCs w:val="32"/>
          <w:u w:val="none"/>
          <w:lang w:val="en-US" w:eastAsia="zh-CN"/>
        </w:rPr>
        <w:t>5</w:t>
      </w:r>
      <w:r>
        <w:rPr>
          <w:rFonts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lang w:val="en-US" w:eastAsia="zh-CN"/>
        </w:rPr>
        <w:t>13030025000032</w:t>
      </w:r>
      <w:r>
        <w:rPr>
          <w:rFonts w:ascii="Times New Roman" w:hAnsi="Times New Roman" w:eastAsia="仿宋_GB2312" w:cs="仿宋"/>
          <w:color w:val="000000"/>
          <w:sz w:val="32"/>
          <w:szCs w:val="32"/>
          <w:u w:val="none"/>
          <w:lang w:eastAsia="zh-CN"/>
        </w:rPr>
        <w:t>号</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_GB2312" w:cs="Mongolian Baiti"/>
          <w:bCs/>
          <w:kern w:val="2"/>
          <w:sz w:val="32"/>
          <w:szCs w:val="32"/>
          <w:lang w:val="en-US" w:eastAsia="zh-CN"/>
        </w:rPr>
      </w:pPr>
    </w:p>
    <w:p>
      <w:pPr>
        <w:keepNext w:val="0"/>
        <w:keepLines w:val="0"/>
        <w:pageBreakBefore w:val="0"/>
        <w:widowControl w:val="0"/>
        <w:kinsoku/>
        <w:wordWrap/>
        <w:overflowPunct/>
        <w:topLinePunct w:val="0"/>
        <w:autoSpaceDE/>
        <w:autoSpaceDN/>
        <w:adjustRightInd/>
        <w:snapToGrid/>
        <w:spacing w:line="500" w:lineRule="exact"/>
        <w:jc w:val="left"/>
        <w:rPr>
          <w:rFonts w:ascii="Times New Roman" w:hAnsi="Times New Roman" w:eastAsia="仿宋_GB2312" w:cs="仿宋_GB2312"/>
          <w:bCs/>
          <w:sz w:val="32"/>
          <w:szCs w:val="32"/>
          <w:lang w:val="en-US"/>
        </w:rPr>
      </w:pPr>
      <w:r>
        <w:rPr>
          <w:rFonts w:hint="eastAsia" w:ascii="Times New Roman" w:hAnsi="Times New Roman" w:eastAsia="仿宋_GB2312" w:cs="Mongolian Baiti"/>
          <w:bCs/>
          <w:kern w:val="2"/>
          <w:sz w:val="32"/>
          <w:szCs w:val="32"/>
        </w:rPr>
        <w:t>当事人</w:t>
      </w:r>
      <w:r>
        <w:rPr>
          <w:rFonts w:hint="eastAsia" w:ascii="Times New Roman" w:hAnsi="Times New Roman" w:eastAsia="仿宋_GB2312" w:cs="Mongolian Baiti"/>
          <w:kern w:val="2"/>
          <w:sz w:val="32"/>
          <w:szCs w:val="32"/>
          <w:lang w:eastAsia="zh-CN"/>
        </w:rPr>
        <w:t>：</w:t>
      </w:r>
      <w:r>
        <w:rPr>
          <w:rFonts w:hint="eastAsia" w:ascii="Times New Roman" w:hAnsi="Times New Roman" w:eastAsia="仿宋_GB2312" w:cs="Mongolian Baiti"/>
          <w:bCs/>
          <w:sz w:val="32"/>
          <w:szCs w:val="32"/>
          <w:lang w:bidi="ar-SA"/>
        </w:rPr>
        <w:t>张砚</w:t>
      </w:r>
    </w:p>
    <w:p>
      <w:pPr>
        <w:keepNext w:val="0"/>
        <w:keepLines w:val="0"/>
        <w:pageBreakBefore w:val="0"/>
        <w:widowControl w:val="0"/>
        <w:kinsoku/>
        <w:wordWrap/>
        <w:overflowPunct/>
        <w:topLinePunct w:val="0"/>
        <w:autoSpaceDE/>
        <w:autoSpaceDN/>
        <w:adjustRightInd/>
        <w:snapToGrid/>
        <w:spacing w:line="500" w:lineRule="exact"/>
        <w:jc w:val="left"/>
        <w:rPr>
          <w:rFonts w:hint="eastAsia" w:ascii="Times New Roman" w:hAnsi="Times New Roman" w:eastAsia="仿宋_GB2312" w:cs="Mongolian Baiti"/>
          <w:kern w:val="2"/>
          <w:sz w:val="32"/>
          <w:szCs w:val="32"/>
          <w:lang w:eastAsia="zh-CN"/>
        </w:rPr>
      </w:pPr>
      <w:r>
        <w:rPr>
          <w:rFonts w:hint="eastAsia" w:ascii="Times New Roman" w:hAnsi="Times New Roman" w:eastAsia="仿宋_GB2312" w:cs="Mongolian Baiti"/>
          <w:kern w:val="2"/>
          <w:sz w:val="32"/>
          <w:szCs w:val="32"/>
        </w:rPr>
        <w:t>主体资格证照名称：</w:t>
      </w:r>
      <w:r>
        <w:rPr>
          <w:rFonts w:hint="eastAsia" w:ascii="仿宋" w:eastAsia="仿宋" w:cs="仿宋"/>
          <w:sz w:val="32"/>
          <w:szCs w:val="32"/>
          <w:lang w:val="en-US" w:eastAsia="zh-CN"/>
        </w:rPr>
        <w:t>身份证</w:t>
      </w:r>
    </w:p>
    <w:p>
      <w:pPr>
        <w:keepNext w:val="0"/>
        <w:keepLines w:val="0"/>
        <w:pageBreakBefore w:val="0"/>
        <w:widowControl w:val="0"/>
        <w:kinsoku/>
        <w:wordWrap/>
        <w:overflowPunct/>
        <w:topLinePunct w:val="0"/>
        <w:autoSpaceDE/>
        <w:autoSpaceDN/>
        <w:bidi w:val="0"/>
        <w:adjustRightInd/>
        <w:snapToGrid/>
        <w:spacing w:line="500" w:lineRule="exact"/>
        <w:ind w:left="140" w:hanging="140"/>
        <w:jc w:val="left"/>
        <w:textAlignment w:val="auto"/>
        <w:rPr>
          <w:rFonts w:hint="default" w:ascii="Times New Roman" w:hAnsi="Times New Roman" w:eastAsia="仿宋_GB2312" w:cs="Mongolian Baiti"/>
          <w:bCs/>
          <w:sz w:val="32"/>
          <w:szCs w:val="32"/>
          <w:lang w:val="en-US" w:eastAsia="zh-CN"/>
        </w:rPr>
      </w:pPr>
      <w:r>
        <w:rPr>
          <w:rFonts w:hint="eastAsia" w:ascii="Times New Roman" w:hAnsi="Times New Roman" w:eastAsia="仿宋_GB2312" w:cs="Mongolian Baiti"/>
          <w:kern w:val="2"/>
          <w:sz w:val="32"/>
          <w:szCs w:val="32"/>
        </w:rPr>
        <w:t>统一社会信用代码：</w:t>
      </w:r>
      <w:r>
        <w:rPr>
          <w:rFonts w:hint="eastAsia" w:ascii="Times New Roman" w:hAnsi="Times New Roman" w:eastAsia="仿宋_GB2312" w:cs="仿宋_GB2312"/>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left="16" w:right="-313" w:rightChars="-149" w:hanging="16" w:hangingChars="5"/>
        <w:jc w:val="left"/>
        <w:textAlignment w:val="auto"/>
        <w:rPr>
          <w:rFonts w:hint="eastAsia" w:ascii="Times New Roman" w:hAnsi="Times New Roman" w:eastAsia="仿宋_GB2312" w:cs="Mongolian Baiti"/>
          <w:bCs/>
          <w:sz w:val="32"/>
          <w:szCs w:val="32"/>
          <w:lang w:val="en-US" w:eastAsia="zh-CN"/>
        </w:rPr>
      </w:pPr>
      <w:r>
        <w:rPr>
          <w:rFonts w:hint="eastAsia" w:ascii="Times New Roman" w:hAnsi="Times New Roman" w:eastAsia="仿宋_GB2312" w:cs="Mongolian Baiti"/>
          <w:bCs/>
          <w:sz w:val="32"/>
          <w:szCs w:val="32"/>
        </w:rPr>
        <w:t>住所（住址）</w:t>
      </w:r>
      <w:r>
        <w:rPr>
          <w:rFonts w:hint="eastAsia" w:ascii="Times New Roman" w:hAnsi="Times New Roman" w:eastAsia="仿宋_GB2312" w:cs="Mongolian Baiti"/>
          <w:bCs/>
          <w:sz w:val="32"/>
          <w:szCs w:val="32"/>
          <w:lang w:val="en-US" w:eastAsia="zh-CN"/>
        </w:rPr>
        <w:t>：</w:t>
      </w:r>
      <w:r>
        <w:rPr>
          <w:rFonts w:hint="eastAsia" w:ascii="Times New Roman" w:hAnsi="Times New Roman" w:eastAsia="仿宋_GB2312" w:cs="Mongolian Baiti"/>
          <w:bCs/>
          <w:sz w:val="32"/>
          <w:szCs w:val="32"/>
        </w:rPr>
        <w:t>河北省秦皇岛市海港区燕山大街22号</w:t>
      </w:r>
    </w:p>
    <w:p>
      <w:pPr>
        <w:keepNext w:val="0"/>
        <w:keepLines w:val="0"/>
        <w:pageBreakBefore w:val="0"/>
        <w:widowControl w:val="0"/>
        <w:tabs>
          <w:tab w:val="center" w:pos="4560"/>
        </w:tabs>
        <w:kinsoku/>
        <w:wordWrap/>
        <w:overflowPunct/>
        <w:topLinePunct w:val="0"/>
        <w:autoSpaceDE/>
        <w:autoSpaceDN/>
        <w:adjustRightInd/>
        <w:snapToGrid/>
        <w:spacing w:line="500" w:lineRule="exact"/>
        <w:rPr>
          <w:rFonts w:hint="default" w:ascii="仿宋" w:eastAsia="仿宋" w:cs="仿宋"/>
          <w:sz w:val="32"/>
          <w:szCs w:val="32"/>
          <w:lang w:val="en-US" w:eastAsia="zh-CN"/>
        </w:rPr>
      </w:pPr>
      <w:r>
        <w:rPr>
          <w:rFonts w:ascii="仿宋" w:eastAsia="仿宋" w:cs="仿宋"/>
          <w:sz w:val="32"/>
          <w:szCs w:val="32"/>
        </w:rPr>
        <w:t>法定代表人（负责人、经营者</w:t>
      </w:r>
      <w:r>
        <w:rPr>
          <w:rFonts w:ascii="仿宋" w:eastAsia="仿宋" w:cs="仿宋"/>
          <w:spacing w:val="-96"/>
          <w:w w:val="67"/>
          <w:sz w:val="32"/>
          <w:szCs w:val="32"/>
        </w:rPr>
        <w:t>)</w:t>
      </w:r>
      <w:r>
        <w:rPr>
          <w:rFonts w:ascii="仿宋" w:eastAsia="仿宋" w:cs="仿宋"/>
          <w:sz w:val="32"/>
          <w:szCs w:val="32"/>
          <w:lang w:val="en-US" w:eastAsia="zh-CN"/>
        </w:rPr>
        <w:t>:张</w:t>
      </w:r>
      <w:r>
        <w:rPr>
          <w:rFonts w:hint="eastAsia" w:ascii="仿宋" w:eastAsia="仿宋" w:cs="仿宋"/>
          <w:sz w:val="32"/>
          <w:szCs w:val="32"/>
          <w:lang w:val="en-US" w:eastAsia="zh-CN"/>
        </w:rPr>
        <w:t>砚</w:t>
      </w:r>
      <w:bookmarkStart w:id="0" w:name="_GoBack"/>
      <w:bookmarkEnd w:id="0"/>
    </w:p>
    <w:p>
      <w:pPr>
        <w:keepNext w:val="0"/>
        <w:keepLines w:val="0"/>
        <w:pageBreakBefore w:val="0"/>
        <w:widowControl w:val="0"/>
        <w:tabs>
          <w:tab w:val="center" w:pos="4560"/>
        </w:tabs>
        <w:kinsoku/>
        <w:wordWrap/>
        <w:overflowPunct/>
        <w:topLinePunct w:val="0"/>
        <w:autoSpaceDE/>
        <w:autoSpaceDN/>
        <w:adjustRightInd/>
        <w:snapToGrid/>
        <w:spacing w:line="500" w:lineRule="exact"/>
        <w:rPr>
          <w:rFonts w:ascii="Times New Roman" w:hAnsi="Times New Roman" w:eastAsia="仿宋_GB2312" w:cs="Mongolian Baiti"/>
          <w:kern w:val="2"/>
          <w:sz w:val="32"/>
          <w:szCs w:val="32"/>
          <w:u w:val="single"/>
          <w:lang w:val="en-US"/>
        </w:rPr>
      </w:pPr>
      <w:r>
        <w:rPr>
          <w:rFonts w:hint="eastAsia" w:ascii="Times New Roman" w:hAnsi="Times New Roman" w:eastAsia="仿宋_GB2312" w:cs="仿宋_GB2312"/>
          <w:sz w:val="32"/>
          <w:szCs w:val="32"/>
        </w:rPr>
        <w:t>身份证件号码：</w:t>
      </w:r>
      <w:r>
        <w:rPr>
          <w:rFonts w:hint="eastAsia" w:ascii="Times New Roman" w:hAnsi="Times New Roman" w:eastAsia="仿宋_GB2312" w:cs="仿宋_GB2312"/>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案件来源及调查经过）本案来源于投诉举报。2024年11月20日，我局执法人员接举报单和投诉单，到当事人经营场所秦皇岛市海港万达广场“FOURFLOWERS进口美妆全球精品”核查，现场发现当事人货架上经营的“SK-Ⅱ护肤精华露”标示生产日期及限期使用日期：见包装标注和20260608字样、“SK-Ⅱ致臻赋能焕采精华露”标示生产日期及限期使用日期：见包装标注和20270529字样、“SK-Ⅱ赋能焕采眼霜”标示生产日期及限期使用日期：见包装标注和20261007字样和“POLA宝丽黑洁面”标示中文标签，“迪奥净澈舒缓洁颜乳”没有现货，与投诉举报人称的没有标注限期使用日期及未标示中文标签的情况不符。现场发现宝丽碧艾洁面膏1盒、SK-Ⅱ致臻赋能焕采精华露1盒、SK-Ⅱ赋能焕采眼霜1盒、SK-Ⅱ护肤精华露2盒，因举报投诉人称其购买的SK-Ⅱ护肤精华露、SK-Ⅱ致臻赋能焕采精华露、SK-Ⅱ肌源修护焕采眼霜非宝洁（中国）营销有限公司进口和销售，执法人员依据《化妆品监督管理条例》第四十六条第一款第四项的规定，对上述化妆品予以扣押。下达了秦市监强制〔2024〕药支22号的实施行政强制措施决定书及秦市监强制〔2024〕药支22号财物清单。</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Times New Roman" w:hAnsi="Times New Roman" w:eastAsia="仿宋_GB2312" w:cs="Mongolian Baiti"/>
          <w:bCs/>
          <w:sz w:val="32"/>
          <w:szCs w:val="32"/>
          <w:lang w:eastAsia="zh-CN"/>
        </w:rPr>
        <w:t>（案件事实）经调查，</w:t>
      </w:r>
      <w:r>
        <w:rPr>
          <w:rFonts w:hint="eastAsia" w:ascii="仿宋_GB2312" w:eastAsia="仿宋_GB2312" w:cs="仿宋"/>
          <w:sz w:val="32"/>
          <w:szCs w:val="32"/>
          <w:u w:val="none"/>
          <w:lang w:val="en-US" w:eastAsia="zh-CN"/>
        </w:rPr>
        <w:t>当事人销售的上述化妆品于2024年10月30日从锦州辰姿化妆品经营有限公司采购的，SK-Ⅱ护肤精华露采购价格是671.2元每盒，销售价是750元每盒，采购2盒，SK-Ⅱ致臻赋能焕采精华露采购价格是795.2元每盒，销售价格是840元每盒，采购1盒，SK-Ⅱ赋能焕采眼霜采购价格是340元每盒，销售价格399元每盒，采购1盒，宝丽碧艾洁面膏采购价格是280元每盒，销售价格331元每盒，采购1盒，上述化妆品均尚未销售。当事人提供了供货者的营业执照、销售出库单。2025年1月23日，我局向境内责任人所在地上海市浦东新区市场监督管理局发出协助调查函，分别于2025年2月5日和2025年4月10日收到协助调查函的复函以及境内责任人的情况说明，SK-Ⅱ护肤精华露是境内责任人进口和销售的，SK-Ⅱ致臻赋能焕采精华露、SK-Ⅱ赋能焕采眼霜、宝丽碧艾洁面膏不是宝洁（中国）营销有限公司和上海宝丽妍贸易有限公司进口或销售的正规产品。通过电话与微信方式与投诉举报人联系，其拒绝以合理方式提供购买的产品实物，只提供了购买产品的照片和秦皇岛四朵花化妆品店消费截图，共计3069元。当事人不承认投诉举报人所购买的产品是其销售的，并反映消费截图也不是该店的消费截图。所以，本案的货值金额为1570（840+399+331）元，涉案货值金额1万元以下，无违法所得。</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640" w:firstLineChars="200"/>
        <w:textAlignment w:val="baseline"/>
        <w:rPr>
          <w:rFonts w:hint="eastAsia" w:ascii="Times New Roman" w:hAnsi="Times New Roman" w:eastAsia="仿宋_GB2312" w:cs="Mongolian Baiti"/>
          <w:bCs/>
          <w:sz w:val="32"/>
          <w:szCs w:val="32"/>
        </w:rPr>
      </w:pPr>
      <w:r>
        <w:rPr>
          <w:rFonts w:hint="eastAsia" w:ascii="仿宋" w:eastAsia="仿宋"/>
          <w:sz w:val="32"/>
          <w:szCs w:val="32"/>
        </w:rPr>
        <w:t>经执法人员现场核查、询问调查、收集证据，当事</w:t>
      </w:r>
      <w:r>
        <w:rPr>
          <w:rFonts w:hint="eastAsia" w:ascii="Times New Roman" w:hAnsi="Times New Roman" w:eastAsia="仿宋_GB2312" w:cs="Mongolian Baiti"/>
          <w:bCs/>
          <w:sz w:val="32"/>
          <w:szCs w:val="32"/>
        </w:rPr>
        <w:t>人</w:t>
      </w:r>
      <w:r>
        <w:rPr>
          <w:rFonts w:hint="eastAsia" w:ascii="Times New Roman" w:hAnsi="Times New Roman" w:eastAsia="仿宋_GB2312" w:cs="Mongolian Baiti"/>
          <w:bCs/>
          <w:sz w:val="32"/>
          <w:szCs w:val="32"/>
          <w:lang w:bidi="ar-SA"/>
        </w:rPr>
        <w:t>经营</w:t>
      </w:r>
      <w:r>
        <w:rPr>
          <w:rFonts w:hint="eastAsia" w:ascii="仿宋_GB2312" w:eastAsia="仿宋_GB2312" w:cs="仿宋"/>
          <w:sz w:val="32"/>
          <w:szCs w:val="32"/>
          <w:u w:val="none"/>
          <w:lang w:val="en-US" w:eastAsia="zh-CN"/>
        </w:rPr>
        <w:t>未经备案的普通化妆品</w:t>
      </w:r>
      <w:r>
        <w:rPr>
          <w:rFonts w:hint="eastAsia" w:ascii="仿宋" w:eastAsia="仿宋"/>
          <w:sz w:val="32"/>
          <w:szCs w:val="32"/>
        </w:rPr>
        <w:t>的违法事实已调查清楚，证据确实充分并形成完整的证据链。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1.《营业执照》复印件一份，证明当事人的主体资质。</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2.授权委托书一份、经营者张砚、受委托人李娇的身份证复印件，证明李娇所作的陈述和行为为职务行为，具有法律效力。</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3.经受委托人李娇签字的询问笔录一份，证明当事人经营未经备案的普通化妆品的违法事实及经营涉案化妆品的购进数量和价格。</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4.现场拍摄照片、现场检查笔录、实施行政强制措施决定书及扣押财物清单等资料，证明执法人员现场检查情况及当事人的违法事实。</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5.受委托人提供的供货者的营业执照、销售出库单，证明当事人采购化妆品的渠道合法。</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6.2025</w:t>
      </w:r>
      <w:r>
        <w:rPr>
          <w:rFonts w:ascii="仿宋_GB2312" w:eastAsia="仿宋_GB2312" w:cs="仿宋"/>
          <w:sz w:val="32"/>
          <w:szCs w:val="32"/>
          <w:u w:val="none"/>
          <w:lang w:val="en-US" w:eastAsia="zh-CN"/>
        </w:rPr>
        <w:t>年</w:t>
      </w:r>
      <w:r>
        <w:rPr>
          <w:rFonts w:hint="eastAsia" w:ascii="仿宋_GB2312" w:eastAsia="仿宋_GB2312" w:cs="仿宋"/>
          <w:sz w:val="32"/>
          <w:szCs w:val="32"/>
          <w:u w:val="none"/>
          <w:lang w:val="en-US" w:eastAsia="zh-CN"/>
        </w:rPr>
        <w:t>2</w:t>
      </w:r>
      <w:r>
        <w:rPr>
          <w:rFonts w:ascii="仿宋_GB2312" w:eastAsia="仿宋_GB2312" w:cs="仿宋"/>
          <w:sz w:val="32"/>
          <w:szCs w:val="32"/>
          <w:u w:val="none"/>
          <w:lang w:val="en-US" w:eastAsia="zh-CN"/>
        </w:rPr>
        <w:t>月</w:t>
      </w:r>
      <w:r>
        <w:rPr>
          <w:rFonts w:hint="eastAsia" w:ascii="仿宋_GB2312" w:eastAsia="仿宋_GB2312" w:cs="仿宋"/>
          <w:sz w:val="32"/>
          <w:szCs w:val="32"/>
          <w:u w:val="none"/>
          <w:lang w:val="en-US" w:eastAsia="zh-CN"/>
        </w:rPr>
        <w:t>5</w:t>
      </w:r>
      <w:r>
        <w:rPr>
          <w:rFonts w:ascii="仿宋_GB2312" w:eastAsia="仿宋_GB2312" w:cs="仿宋"/>
          <w:sz w:val="32"/>
          <w:szCs w:val="32"/>
          <w:u w:val="none"/>
          <w:lang w:val="en-US" w:eastAsia="zh-CN"/>
        </w:rPr>
        <w:t>日</w:t>
      </w:r>
      <w:r>
        <w:rPr>
          <w:rFonts w:hint="eastAsia" w:ascii="仿宋_GB2312" w:eastAsia="仿宋_GB2312" w:cs="仿宋"/>
          <w:sz w:val="32"/>
          <w:szCs w:val="32"/>
          <w:u w:val="none"/>
          <w:lang w:val="en-US" w:eastAsia="zh-CN"/>
        </w:rPr>
        <w:t>和2025</w:t>
      </w:r>
      <w:r>
        <w:rPr>
          <w:rFonts w:ascii="仿宋_GB2312" w:eastAsia="仿宋_GB2312" w:cs="仿宋"/>
          <w:sz w:val="32"/>
          <w:szCs w:val="32"/>
          <w:u w:val="none"/>
          <w:lang w:val="en-US" w:eastAsia="zh-CN"/>
        </w:rPr>
        <w:t>年</w:t>
      </w:r>
      <w:r>
        <w:rPr>
          <w:rFonts w:hint="eastAsia" w:ascii="仿宋_GB2312" w:eastAsia="仿宋_GB2312" w:cs="仿宋"/>
          <w:sz w:val="32"/>
          <w:szCs w:val="32"/>
          <w:u w:val="none"/>
          <w:lang w:val="en-US" w:eastAsia="zh-CN"/>
        </w:rPr>
        <w:t>4</w:t>
      </w:r>
      <w:r>
        <w:rPr>
          <w:rFonts w:ascii="仿宋_GB2312" w:eastAsia="仿宋_GB2312" w:cs="仿宋"/>
          <w:sz w:val="32"/>
          <w:szCs w:val="32"/>
          <w:u w:val="none"/>
          <w:lang w:val="en-US" w:eastAsia="zh-CN"/>
        </w:rPr>
        <w:t>月</w:t>
      </w:r>
      <w:r>
        <w:rPr>
          <w:rFonts w:hint="eastAsia" w:ascii="仿宋_GB2312" w:eastAsia="仿宋_GB2312" w:cs="仿宋"/>
          <w:sz w:val="32"/>
          <w:szCs w:val="32"/>
          <w:u w:val="none"/>
          <w:lang w:val="en-US" w:eastAsia="zh-CN"/>
        </w:rPr>
        <w:t>10</w:t>
      </w:r>
      <w:r>
        <w:rPr>
          <w:rFonts w:ascii="仿宋_GB2312" w:eastAsia="仿宋_GB2312" w:cs="仿宋"/>
          <w:sz w:val="32"/>
          <w:szCs w:val="32"/>
          <w:u w:val="none"/>
          <w:lang w:val="en-US" w:eastAsia="zh-CN"/>
        </w:rPr>
        <w:t>日</w:t>
      </w:r>
      <w:r>
        <w:rPr>
          <w:rFonts w:hint="eastAsia" w:ascii="仿宋_GB2312" w:eastAsia="仿宋_GB2312" w:cs="仿宋"/>
          <w:sz w:val="32"/>
          <w:szCs w:val="32"/>
          <w:u w:val="none"/>
          <w:lang w:val="en-US" w:eastAsia="zh-CN"/>
        </w:rPr>
        <w:t>收到上海市浦东新区市场监督管理局的协助调查函的复函，证明当事人经营未经备案的普通化妆品的违法事实。</w:t>
      </w:r>
    </w:p>
    <w:p>
      <w:pPr>
        <w:keepNext w:val="0"/>
        <w:keepLines w:val="0"/>
        <w:pageBreakBefore w:val="0"/>
        <w:widowControl/>
        <w:kinsoku w:val="0"/>
        <w:wordWrap/>
        <w:overflowPunct/>
        <w:topLinePunct w:val="0"/>
        <w:autoSpaceDE w:val="0"/>
        <w:autoSpaceDN w:val="0"/>
        <w:adjustRightInd w:val="0"/>
        <w:snapToGrid w:val="0"/>
        <w:spacing w:line="480" w:lineRule="exact"/>
        <w:ind w:left="0" w:firstLine="640" w:firstLineChars="200"/>
        <w:textAlignment w:val="baseline"/>
        <w:rPr>
          <w:rFonts w:ascii="仿宋" w:eastAsia="仿宋" w:cs="仿宋"/>
          <w:sz w:val="32"/>
          <w:szCs w:val="32"/>
          <w:lang w:bidi="ar-SA"/>
        </w:rPr>
      </w:pPr>
      <w:r>
        <w:rPr>
          <w:rFonts w:hint="eastAsia" w:ascii="仿宋_GB2312" w:eastAsia="仿宋_GB2312" w:cs="仿宋"/>
          <w:bCs/>
          <w:sz w:val="32"/>
          <w:szCs w:val="32"/>
        </w:rPr>
        <w:t>2025年5月28日，我局依法向当事人送达了秦市监罚告</w:t>
      </w:r>
      <w:r>
        <w:rPr>
          <w:rFonts w:hint="eastAsia" w:ascii="仿宋_GB2312" w:eastAsia="仿宋_GB2312" w:cs="仿宋"/>
          <w:sz w:val="32"/>
          <w:szCs w:val="32"/>
        </w:rPr>
        <w:t>〔2025〕</w:t>
      </w:r>
      <w:r>
        <w:rPr>
          <w:rFonts w:hint="eastAsia" w:ascii="仿宋_GB2312" w:eastAsia="仿宋_GB2312" w:cs="仿宋"/>
          <w:bCs/>
          <w:sz w:val="32"/>
          <w:szCs w:val="32"/>
        </w:rPr>
        <w:t>药支6号</w:t>
      </w:r>
      <w:r>
        <w:rPr>
          <w:rFonts w:hint="eastAsia" w:ascii="Times New Roman" w:hAnsi="Times New Roman" w:eastAsia="仿宋_GB2312" w:cs="仿宋_GB2312"/>
          <w:bCs/>
          <w:sz w:val="32"/>
          <w:szCs w:val="32"/>
        </w:rPr>
        <w:t>行政处罚告知书，告知当事人拟作出行政处罚决定的事实、理由、依据和处罚内容及依法享有的陈述、申辩权，听证权，当事人在法定期限内未向我局提出任何陈述、申辩意见，也未要求举行听证。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s="仿宋_GB2312"/>
          <w:color w:val="000000"/>
          <w:sz w:val="32"/>
          <w:szCs w:val="32"/>
          <w:lang w:val="en-US" w:eastAsia="zh-CN"/>
        </w:rPr>
      </w:pPr>
      <w:r>
        <w:rPr>
          <w:rFonts w:hint="eastAsia" w:ascii="仿宋" w:eastAsia="仿宋" w:cs="仿宋"/>
          <w:bCs/>
          <w:sz w:val="32"/>
          <w:szCs w:val="32"/>
          <w:lang w:val="en-US" w:eastAsia="zh-CN"/>
        </w:rPr>
        <w:t>本局认为：当事人</w:t>
      </w:r>
      <w:r>
        <w:rPr>
          <w:rFonts w:hint="eastAsia" w:ascii="仿宋" w:eastAsia="仿宋" w:cs="仿宋"/>
          <w:sz w:val="32"/>
          <w:szCs w:val="32"/>
        </w:rPr>
        <w:t>经营</w:t>
      </w:r>
      <w:r>
        <w:rPr>
          <w:rFonts w:hint="eastAsia" w:ascii="仿宋_GB2312" w:eastAsia="仿宋_GB2312" w:cs="仿宋"/>
          <w:sz w:val="32"/>
          <w:szCs w:val="32"/>
          <w:u w:val="none"/>
          <w:lang w:val="en-US" w:eastAsia="zh-CN"/>
        </w:rPr>
        <w:t>未经备案的普通</w:t>
      </w:r>
      <w:r>
        <w:rPr>
          <w:rFonts w:hint="eastAsia" w:ascii="仿宋" w:eastAsia="仿宋" w:cs="仿宋"/>
          <w:sz w:val="32"/>
          <w:szCs w:val="32"/>
        </w:rPr>
        <w:t>化妆品</w:t>
      </w:r>
      <w:r>
        <w:rPr>
          <w:rFonts w:hint="eastAsia" w:ascii="仿宋" w:eastAsia="仿宋" w:cs="仿宋"/>
          <w:snapToGrid w:val="0"/>
          <w:sz w:val="32"/>
          <w:szCs w:val="32"/>
          <w:lang w:val="en-US" w:eastAsia="zh-CN"/>
        </w:rPr>
        <w:t>的行为，</w:t>
      </w:r>
      <w:r>
        <w:rPr>
          <w:rFonts w:hint="eastAsia" w:ascii="仿宋" w:eastAsia="仿宋" w:cs="仿宋"/>
          <w:bCs/>
          <w:sz w:val="32"/>
          <w:szCs w:val="32"/>
        </w:rPr>
        <w:t>违反了《化妆品监督管理条例》</w:t>
      </w:r>
      <w:r>
        <w:rPr>
          <w:rFonts w:hint="eastAsia" w:ascii="仿宋_GB2312" w:eastAsia="仿宋_GB2312" w:cs="仿宋"/>
          <w:sz w:val="32"/>
          <w:szCs w:val="32"/>
          <w:u w:val="none"/>
          <w:lang w:val="en-US" w:eastAsia="zh-CN"/>
        </w:rPr>
        <w:t>第十七条“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的规定。</w:t>
      </w:r>
      <w:r>
        <w:rPr>
          <w:rFonts w:hint="eastAsia" w:ascii="仿宋" w:eastAsia="仿宋" w:cs="仿宋"/>
          <w:bCs/>
          <w:sz w:val="32"/>
          <w:szCs w:val="32"/>
        </w:rPr>
        <w:t>依据《化妆品监督管理条例》</w:t>
      </w:r>
      <w:r>
        <w:rPr>
          <w:rFonts w:hint="eastAsia" w:ascii="仿宋_GB2312" w:eastAsia="仿宋_GB2312" w:cs="仿宋"/>
          <w:sz w:val="32"/>
          <w:szCs w:val="32"/>
          <w:u w:val="none"/>
          <w:lang w:val="en-US" w:eastAsia="zh-CN"/>
        </w:rPr>
        <w:t>第六十一条第一款第一项“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w:t>
      </w:r>
      <w:r>
        <w:rPr>
          <w:rFonts w:hint="eastAsia" w:ascii="仿宋_GB2312" w:eastAsia="仿宋_GB2312" w:cs="仿宋_GB2312"/>
          <w:color w:val="000000"/>
          <w:sz w:val="32"/>
          <w:szCs w:val="32"/>
          <w:lang w:val="en-US" w:eastAsia="zh-CN"/>
        </w:rPr>
        <w:t>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一）上市销售、经营或者进口未备案的普通化妆品”的规定。</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自由裁量理由等其他需要说明的事项：案件办理过程中，当事人主动提供证据材料，且涉案产品尚未销售，符合《药品监督管理行政处罚裁量适用规则》第十一条第一款第二项、第三项“当事人有下列情形之一的，可以从轻或者减轻行政处罚：（二）积极配合药品监督管理部门调查并主动提供证据材料的；（三）涉案产品尚未销售或者使用的”规定，拟给予当事人从轻处罚。根据《河北省化妆品行政处罚裁量基准》编码“HEBMPA-C-3-003”规定，从轻处罚情形的裁量基准为“货值金额不足1万元的，并处1万元以上1.6万元以下罚款”。</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案件办理过程中，海港区思色花化妆品店于2024年11月29日营业执照注销，依据《民法典》第五十四条、《最高人民法院关于适用&lt;中华人民共和国民事诉讼法&gt;的解释》第五十九条第一款的规定，将营业执照上经营者张砚列为本案当事人。</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由于该案涉及上海市浦东新区市场监督管理局的协助调查函，为妥善办理此案，2025年3月2日经主管领导批准延期三十日后，仍不能在期限内作出处理决定。办案机构考虑本案特殊情况，依据《市场监督管理行政处罚程序规定》第六十四条第一款规定，2025年4月1日，经局案审会讨论决定继续延期至2025年6月30日前作出处理决定。</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Times New Roman" w:hAnsi="Times New Roman" w:eastAsia="仿宋_GB2312" w:cs="仿宋_GB2312"/>
          <w:bCs/>
          <w:sz w:val="32"/>
          <w:szCs w:val="32"/>
          <w:lang w:val="en-US" w:eastAsia="zh-CN"/>
        </w:rPr>
        <w:t>综上，当事人的上述行为违反了</w:t>
      </w:r>
      <w:r>
        <w:rPr>
          <w:rFonts w:hint="eastAsia" w:ascii="仿宋" w:eastAsia="仿宋" w:cs="仿宋"/>
          <w:bCs/>
          <w:sz w:val="32"/>
          <w:szCs w:val="32"/>
        </w:rPr>
        <w:t>《化妆品监督管理条例》</w:t>
      </w:r>
      <w:r>
        <w:rPr>
          <w:rFonts w:hint="eastAsia" w:ascii="仿宋_GB2312" w:eastAsia="仿宋_GB2312" w:cs="仿宋"/>
          <w:sz w:val="32"/>
          <w:szCs w:val="32"/>
          <w:u w:val="none"/>
          <w:lang w:val="en-US" w:eastAsia="zh-CN"/>
        </w:rPr>
        <w:t>第十七条的规定，依据</w:t>
      </w:r>
      <w:r>
        <w:rPr>
          <w:rFonts w:hint="eastAsia" w:ascii="仿宋" w:eastAsia="仿宋" w:cs="仿宋"/>
          <w:bCs/>
          <w:sz w:val="32"/>
          <w:szCs w:val="32"/>
        </w:rPr>
        <w:t>《化妆品监督管理条例》</w:t>
      </w:r>
      <w:r>
        <w:rPr>
          <w:rFonts w:hint="eastAsia" w:ascii="仿宋_GB2312" w:eastAsia="仿宋_GB2312" w:cs="仿宋"/>
          <w:sz w:val="32"/>
          <w:szCs w:val="32"/>
          <w:u w:val="none"/>
          <w:lang w:val="en-US" w:eastAsia="zh-CN"/>
        </w:rPr>
        <w:t>第六十一条第一款第一项规定，参照《河北省化妆品行政处罚裁量基准》，依据《中华人民共和国行政处罚法》第二十八条，责令当事人立即改正违法行为，对其作出：</w:t>
      </w:r>
    </w:p>
    <w:p>
      <w:pPr>
        <w:keepNext w:val="0"/>
        <w:keepLines w:val="0"/>
        <w:pageBreakBefore w:val="0"/>
        <w:widowControl w:val="0"/>
        <w:kinsoku/>
        <w:wordWrap/>
        <w:overflowPunct/>
        <w:topLinePunct w:val="0"/>
        <w:autoSpaceDE/>
        <w:autoSpaceDN/>
        <w:bidi w:val="0"/>
        <w:adjustRightInd/>
        <w:snapToGrid/>
        <w:spacing w:line="480" w:lineRule="exact"/>
        <w:ind w:left="-27" w:leftChars="-13" w:right="-14" w:firstLine="640" w:firstLineChars="200"/>
        <w:textAlignment w:val="auto"/>
        <w:rPr>
          <w:rFonts w:hint="eastAsia" w:ascii="仿宋_GB2312" w:eastAsia="仿宋_GB2312" w:cs="仿宋"/>
          <w:sz w:val="32"/>
          <w:szCs w:val="32"/>
          <w:u w:val="none"/>
          <w:lang w:val="en-US" w:eastAsia="zh-CN"/>
        </w:rPr>
      </w:pPr>
      <w:r>
        <w:rPr>
          <w:rFonts w:hint="eastAsia" w:ascii="仿宋_GB2312" w:eastAsia="仿宋_GB2312" w:cs="仿宋"/>
          <w:sz w:val="32"/>
          <w:szCs w:val="32"/>
          <w:u w:val="none"/>
          <w:lang w:val="en-US" w:eastAsia="zh-CN"/>
        </w:rPr>
        <w:t>1.没收SK-Ⅱ致臻赋能焕采精华露1盒，SK-Ⅱ赋能焕采眼霜1盒，宝丽碧艾洁面膏1盒；</w:t>
      </w:r>
    </w:p>
    <w:p>
      <w:pPr>
        <w:keepNext w:val="0"/>
        <w:keepLines w:val="0"/>
        <w:pageBreakBefore w:val="0"/>
        <w:widowControl w:val="0"/>
        <w:kinsoku/>
        <w:wordWrap/>
        <w:overflowPunct/>
        <w:topLinePunct w:val="0"/>
        <w:autoSpaceDE/>
        <w:autoSpaceDN/>
        <w:bidi w:val="0"/>
        <w:adjustRightInd/>
        <w:snapToGrid/>
        <w:spacing w:line="480" w:lineRule="exact"/>
        <w:ind w:firstLine="642"/>
        <w:jc w:val="left"/>
        <w:textAlignment w:val="auto"/>
        <w:rPr>
          <w:rFonts w:hint="eastAsia" w:ascii="仿宋" w:eastAsia="仿宋" w:cs="仿宋"/>
          <w:bCs/>
          <w:color w:val="000000"/>
          <w:szCs w:val="32"/>
          <w:lang w:bidi="ar-SA"/>
        </w:rPr>
      </w:pPr>
      <w:r>
        <w:rPr>
          <w:rFonts w:hint="eastAsia" w:ascii="仿宋_GB2312" w:eastAsia="仿宋_GB2312" w:cs="仿宋"/>
          <w:sz w:val="32"/>
          <w:szCs w:val="32"/>
          <w:u w:val="none"/>
          <w:lang w:val="en-US" w:eastAsia="zh-CN"/>
        </w:rPr>
        <w:t>2.并处11</w:t>
      </w:r>
      <w:r>
        <w:rPr>
          <w:rFonts w:hint="eastAsia" w:ascii="仿宋_GB2312" w:hAnsi="仿宋_GB2312" w:cs="仿宋"/>
          <w:sz w:val="32"/>
          <w:szCs w:val="32"/>
          <w:u w:val="none"/>
          <w:lang w:val="en-US" w:eastAsia="zh-CN"/>
        </w:rPr>
        <w:t>5</w:t>
      </w:r>
      <w:r>
        <w:rPr>
          <w:rFonts w:hint="eastAsia" w:ascii="仿宋_GB2312" w:eastAsia="仿宋_GB2312" w:cs="仿宋"/>
          <w:sz w:val="32"/>
          <w:szCs w:val="32"/>
          <w:u w:val="none"/>
          <w:lang w:val="en-US" w:eastAsia="zh-CN"/>
        </w:rPr>
        <w:t>00元罚款。罚没款合计人民币11</w:t>
      </w:r>
      <w:r>
        <w:rPr>
          <w:rFonts w:hint="eastAsia" w:ascii="仿宋_GB2312" w:hAnsi="仿宋_GB2312" w:cs="仿宋"/>
          <w:sz w:val="32"/>
          <w:szCs w:val="32"/>
          <w:u w:val="none"/>
          <w:lang w:val="en-US" w:eastAsia="zh-CN"/>
        </w:rPr>
        <w:t>5</w:t>
      </w:r>
      <w:r>
        <w:rPr>
          <w:rFonts w:hint="eastAsia" w:ascii="仿宋_GB2312" w:eastAsia="仿宋_GB2312" w:cs="仿宋"/>
          <w:sz w:val="32"/>
          <w:szCs w:val="32"/>
          <w:u w:val="none"/>
          <w:lang w:val="en-US" w:eastAsia="zh-CN"/>
        </w:rPr>
        <w:t>00元。</w:t>
      </w:r>
    </w:p>
    <w:p>
      <w:pPr>
        <w:keepNext w:val="0"/>
        <w:keepLines w:val="0"/>
        <w:pageBreakBefore w:val="0"/>
        <w:widowControl w:val="0"/>
        <w:wordWrap/>
        <w:overflowPunct/>
        <w:topLinePunct w:val="0"/>
        <w:spacing w:line="480" w:lineRule="exact"/>
        <w:ind w:firstLine="640" w:firstLineChars="200"/>
        <w:rPr>
          <w:rFonts w:hint="eastAsia" w:ascii="仿宋" w:eastAsia="仿宋" w:cs="仿宋_GB2312"/>
          <w:sz w:val="32"/>
          <w:szCs w:val="32"/>
          <w:lang w:eastAsia="zh-CN"/>
        </w:rPr>
      </w:pPr>
      <w:r>
        <w:rPr>
          <w:rFonts w:hint="eastAsia" w:ascii="仿宋" w:eastAsia="仿宋" w:cs="仿宋_GB2312"/>
          <w:sz w:val="32"/>
          <w:szCs w:val="32"/>
        </w:rPr>
        <w:t>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百分之三加处罚款，并依法申请人民法院强制执行。</w:t>
      </w:r>
    </w:p>
    <w:p>
      <w:pPr>
        <w:keepNext w:val="0"/>
        <w:keepLines w:val="0"/>
        <w:pageBreakBefore w:val="0"/>
        <w:widowControl w:val="0"/>
        <w:wordWrap/>
        <w:overflowPunct/>
        <w:topLinePunct w:val="0"/>
        <w:spacing w:line="480" w:lineRule="exact"/>
        <w:ind w:firstLine="640" w:firstLineChars="200"/>
        <w:rPr>
          <w:rFonts w:hint="eastAsia" w:ascii="仿宋" w:eastAsia="仿宋" w:cs="仿宋_GB2312"/>
          <w:sz w:val="32"/>
          <w:szCs w:val="32"/>
          <w:lang w:eastAsia="zh-CN"/>
        </w:rPr>
      </w:pPr>
      <w:r>
        <w:rPr>
          <w:rFonts w:hint="eastAsia" w:ascii="仿宋" w:eastAsia="仿宋" w:cs="仿宋_GB2312"/>
          <w:sz w:val="32"/>
          <w:szCs w:val="32"/>
        </w:rPr>
        <w:t>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w:t>
      </w:r>
    </w:p>
    <w:p>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hint="eastAsia" w:ascii="Times New Roman" w:hAnsi="Times New Roman" w:eastAsia="仿宋" w:cs="仿宋_GB2312"/>
          <w:color w:val="000000"/>
          <w:sz w:val="32"/>
          <w:szCs w:val="32"/>
          <w:lang w:eastAsia="zh-CN"/>
        </w:rPr>
      </w:pPr>
      <w:r>
        <w:rPr>
          <w:rFonts w:hint="eastAsia" w:ascii="仿宋" w:eastAsia="仿宋" w:cs="仿宋_GB2312"/>
          <w:sz w:val="32"/>
          <w:szCs w:val="32"/>
        </w:rPr>
        <w:t>本局将依法向社会公示本行政处罚决定信息。</w:t>
      </w:r>
    </w:p>
    <w:p>
      <w:pPr>
        <w:keepNext w:val="0"/>
        <w:keepLines w:val="0"/>
        <w:pageBreakBefore w:val="0"/>
        <w:widowControl w:val="0"/>
        <w:kinsoku/>
        <w:overflowPunct/>
        <w:topLinePunct w:val="0"/>
        <w:autoSpaceDE/>
        <w:autoSpaceDN/>
        <w:bidi w:val="0"/>
        <w:adjustRightInd w:val="0"/>
        <w:snapToGrid w:val="0"/>
        <w:spacing w:line="500" w:lineRule="exact"/>
        <w:ind w:right="640"/>
        <w:jc w:val="right"/>
        <w:textAlignment w:val="baseline"/>
        <w:rPr>
          <w:rFonts w:hint="eastAsia" w:ascii="Times New Roman" w:hAnsi="Times New Roman" w:eastAsia="仿宋_GB2312" w:cs="仿宋"/>
          <w:sz w:val="32"/>
          <w:szCs w:val="32"/>
          <w:lang w:eastAsia="zh-CN"/>
        </w:rPr>
      </w:pPr>
    </w:p>
    <w:p>
      <w:pPr>
        <w:keepNext w:val="0"/>
        <w:keepLines w:val="0"/>
        <w:pageBreakBefore w:val="0"/>
        <w:widowControl w:val="0"/>
        <w:kinsoku/>
        <w:overflowPunct/>
        <w:topLinePunct w:val="0"/>
        <w:autoSpaceDE/>
        <w:autoSpaceDN/>
        <w:bidi w:val="0"/>
        <w:spacing w:line="500" w:lineRule="exact"/>
        <w:ind w:right="640" w:firstLine="601"/>
        <w:jc w:val="center"/>
        <w:rPr>
          <w:rFonts w:hint="eastAsia" w:ascii="仿宋" w:eastAsia="仿宋" w:cs="仿宋_GB2312"/>
          <w:color w:val="000000"/>
          <w:sz w:val="32"/>
          <w:szCs w:val="32"/>
          <w:lang w:eastAsia="zh-CN"/>
        </w:rPr>
      </w:pPr>
    </w:p>
    <w:p>
      <w:pPr>
        <w:keepNext w:val="0"/>
        <w:keepLines w:val="0"/>
        <w:pageBreakBefore w:val="0"/>
        <w:widowControl w:val="0"/>
        <w:kinsoku/>
        <w:overflowPunct/>
        <w:topLinePunct w:val="0"/>
        <w:autoSpaceDE/>
        <w:autoSpaceDN/>
        <w:bidi w:val="0"/>
        <w:spacing w:line="500" w:lineRule="exact"/>
        <w:ind w:right="640" w:firstLine="601"/>
        <w:jc w:val="center"/>
        <w:rPr>
          <w:rFonts w:ascii="仿宋" w:eastAsia="仿宋" w:cs="仿宋_GB2312"/>
          <w:color w:val="000000"/>
          <w:sz w:val="32"/>
          <w:szCs w:val="32"/>
        </w:rPr>
      </w:pPr>
    </w:p>
    <w:p>
      <w:pPr>
        <w:keepNext w:val="0"/>
        <w:keepLines w:val="0"/>
        <w:pageBreakBefore w:val="0"/>
        <w:widowControl w:val="0"/>
        <w:kinsoku/>
        <w:overflowPunct/>
        <w:topLinePunct w:val="0"/>
        <w:autoSpaceDE/>
        <w:autoSpaceDN/>
        <w:bidi w:val="0"/>
        <w:spacing w:line="500" w:lineRule="exact"/>
        <w:ind w:right="640" w:firstLine="601"/>
        <w:jc w:val="center"/>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u w:val="none"/>
          <w:lang w:eastAsia="zh-CN"/>
        </w:rPr>
        <w:t>秦皇岛市</w:t>
      </w:r>
      <w:r>
        <w:rPr>
          <w:rFonts w:hint="eastAsia" w:ascii="仿宋_GB2312" w:eastAsia="仿宋_GB2312" w:cs="仿宋_GB2312"/>
          <w:color w:val="000000"/>
          <w:sz w:val="32"/>
          <w:szCs w:val="32"/>
          <w:u w:val="none"/>
        </w:rPr>
        <w:t>市</w:t>
      </w:r>
      <w:r>
        <w:rPr>
          <w:rFonts w:hint="eastAsia" w:ascii="仿宋_GB2312" w:eastAsia="仿宋_GB2312" w:cs="仿宋_GB2312"/>
          <w:color w:val="000000"/>
          <w:sz w:val="32"/>
          <w:szCs w:val="32"/>
        </w:rPr>
        <w:t>场监督管理局</w:t>
      </w:r>
    </w:p>
    <w:p>
      <w:pPr>
        <w:keepNext w:val="0"/>
        <w:keepLines w:val="0"/>
        <w:pageBreakBefore w:val="0"/>
        <w:widowControl w:val="0"/>
        <w:kinsoku/>
        <w:overflowPunct/>
        <w:topLinePunct w:val="0"/>
        <w:autoSpaceDE/>
        <w:autoSpaceDN/>
        <w:bidi w:val="0"/>
        <w:spacing w:line="500" w:lineRule="exact"/>
        <w:ind w:right="640" w:firstLine="601"/>
        <w:jc w:val="center"/>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（印章）</w:t>
      </w:r>
    </w:p>
    <w:p>
      <w:pPr>
        <w:keepNext w:val="0"/>
        <w:keepLines w:val="0"/>
        <w:pageBreakBefore w:val="0"/>
        <w:widowControl w:val="0"/>
        <w:kinsoku/>
        <w:overflowPunct/>
        <w:topLinePunct w:val="0"/>
        <w:autoSpaceDE/>
        <w:autoSpaceDN/>
        <w:spacing w:line="500" w:lineRule="exact"/>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2025</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6</w:t>
      </w:r>
      <w:r>
        <w:rPr>
          <w:rFonts w:hint="eastAsia" w:ascii="仿宋_GB2312" w:eastAsia="仿宋_GB2312" w:cs="仿宋_GB2312"/>
          <w:color w:val="auto"/>
          <w:sz w:val="32"/>
          <w:szCs w:val="32"/>
        </w:rPr>
        <w:t>月</w:t>
      </w:r>
      <w:r>
        <w:rPr>
          <w:rFonts w:hint="eastAsia" w:ascii="仿宋_GB2312" w:eastAsia="仿宋_GB2312" w:cs="仿宋_GB2312"/>
          <w:sz w:val="32"/>
          <w:szCs w:val="32"/>
          <w:lang w:val="en-US" w:eastAsia="zh-CN"/>
        </w:rPr>
        <w:t>16</w:t>
      </w:r>
      <w:r>
        <w:rPr>
          <w:rFonts w:hint="eastAsia" w:ascii="仿宋_GB2312" w:eastAsia="仿宋_GB2312" w:cs="仿宋_GB2312"/>
          <w:color w:val="auto"/>
          <w:sz w:val="32"/>
          <w:szCs w:val="32"/>
        </w:rPr>
        <w:t>日</w:t>
      </w:r>
    </w:p>
    <w:p>
      <w:pPr>
        <w:wordWrap w:val="0"/>
        <w:snapToGrid w:val="0"/>
        <w:spacing w:line="520" w:lineRule="exact"/>
        <w:rPr>
          <w:rFonts w:ascii="Times New Roman" w:hAnsi="Times New Roman" w:eastAsia="仿宋_GB2312" w:cs="仿宋"/>
          <w:color w:val="000000"/>
          <w:sz w:val="30"/>
          <w:szCs w:val="30"/>
        </w:rPr>
      </w:pPr>
      <w:r>
        <w:rPr>
          <w:rFonts w:hint="eastAsia" w:ascii="黑体" w:eastAsia="黑体" w:cs="黑体"/>
          <w:b/>
          <w:bCs/>
          <w:color w:val="000000"/>
          <w:sz w:val="30"/>
          <w:szCs w:val="30"/>
        </w:rPr>
        <w:t>（市场监督管理部门将依法向社会公示本行政处罚决定信息）</w:t>
      </w:r>
    </w:p>
    <w:p>
      <w:pPr>
        <w:wordWrap w:val="0"/>
        <w:spacing w:line="520" w:lineRule="exact"/>
        <w:rPr>
          <w:rFonts w:ascii="Times New Roman" w:hAnsi="Times New Roman" w:eastAsia="仿宋_GB2312" w:cs="仿宋"/>
          <w:bCs/>
          <w:color w:val="000000"/>
          <w:sz w:val="32"/>
          <w:szCs w:val="32"/>
        </w:rPr>
      </w:pPr>
      <w: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172085</wp:posOffset>
                </wp:positionV>
                <wp:extent cx="5550535" cy="635"/>
                <wp:effectExtent l="0" t="0" r="0" b="0"/>
                <wp:wrapNone/>
                <wp:docPr id="3" name="直线 55"/>
                <wp:cNvGraphicFramePr/>
                <a:graphic xmlns:a="http://schemas.openxmlformats.org/drawingml/2006/main">
                  <a:graphicData uri="http://schemas.microsoft.com/office/word/2010/wordprocessingShape">
                    <wps:wsp>
                      <wps:cNvCnPr/>
                      <wps:spPr>
                        <a:xfrm>
                          <a:off x="0" y="0"/>
                          <a:ext cx="5550535" cy="952"/>
                        </a:xfrm>
                        <a:prstGeom prst="line">
                          <a:avLst/>
                        </a:prstGeom>
                        <a:noFill/>
                        <a:ln w="1587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55" o:spid="_x0000_s1026" o:spt="20" style="position:absolute;left:0pt;margin-left:2.25pt;margin-top:13.55pt;height:0.05pt;width:437.05pt;z-index:251659264;mso-width-relative:page;mso-height-relative:page;" filled="f" stroked="t" coordsize="21600,21600" o:gfxdata="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Tu3l1QAAAAcBAAAPAAAAAAAA&#10;AAEAIAAAACIAAABkcnMvZG93bnJldi54bWxQSwECFAAUAAAACACHTuJAl6eddBUCAAAhBAAADgAA&#10;AAAAAAABACAAAAAkAQAAZHJzL2Uyb0RvYy54bWxQSwUGAAAAAAYABgBZAQAAqwUAAAAA&#10;">
                <v:fill on="f" focussize="0,0"/>
                <v:stroke weight="1.25pt" color="#000000" joinstyle="round"/>
                <v:imagedata o:title=""/>
                <o:lock v:ext="edit" aspectratio="f"/>
              </v:line>
            </w:pict>
          </mc:Fallback>
        </mc:AlternateContent>
      </w:r>
    </w:p>
    <w:p>
      <w:pPr>
        <w:wordWrap w:val="0"/>
        <w:spacing w:line="520" w:lineRule="exact"/>
        <w:rPr>
          <w:rFonts w:hint="eastAsia"/>
        </w:rPr>
      </w:pPr>
      <w: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线 54"/>
                <wp:cNvGraphicFramePr/>
                <a:graphic xmlns:a="http://schemas.openxmlformats.org/drawingml/2006/main">
                  <a:graphicData uri="http://schemas.microsoft.com/office/word/2010/wordprocessingShape">
                    <wps:wsp>
                      <wps:cNvCnPr/>
                      <wps:spPr>
                        <a:xfrm>
                          <a:off x="0" y="0"/>
                          <a:ext cx="5762625" cy="1269"/>
                        </a:xfrm>
                        <a:prstGeom prst="line">
                          <a:avLst/>
                        </a:prstGeom>
                        <a:noFill/>
                        <a:ln w="9360" cap="sq"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54"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zkdcAAAAKAQAADwAAAAAA&#10;AAABACAAAAAiAAAAZHJzL2Rvd25yZXYueG1sUEsBAhQAFAAAAAgAh07iQEufcxQUAgAAHwQAAA4A&#10;AAAAAAAAAQAgAAAAJgEAAGRycy9lMm9Eb2MueG1sUEsFBgAAAAAGAAYAWQEAAKw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28"/>
          <w:szCs w:val="28"/>
        </w:rPr>
        <w:t>本文书一式</w:t>
      </w:r>
      <w:r>
        <w:rPr>
          <w:rFonts w:hint="eastAsia" w:ascii="Times New Roman" w:hAnsi="Times New Roman" w:eastAsia="仿宋_GB2312" w:cs="仿宋"/>
          <w:color w:val="000000"/>
          <w:sz w:val="28"/>
          <w:szCs w:val="28"/>
          <w:u w:val="single"/>
        </w:rPr>
        <w:t>四</w:t>
      </w:r>
      <w:r>
        <w:rPr>
          <w:rFonts w:hint="eastAsia" w:ascii="Times New Roman" w:hAnsi="Times New Roman" w:eastAsia="仿宋_GB2312" w:cs="仿宋"/>
          <w:color w:val="000000"/>
          <w:sz w:val="28"/>
          <w:szCs w:val="28"/>
        </w:rPr>
        <w:t>份，</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份送达，</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份归档，</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份办公室，</w:t>
      </w:r>
      <w:r>
        <w:rPr>
          <w:rFonts w:hint="eastAsia" w:ascii="Times New Roman" w:hAnsi="Times New Roman" w:eastAsia="仿宋_GB2312" w:cs="仿宋"/>
          <w:color w:val="000000"/>
          <w:sz w:val="28"/>
          <w:szCs w:val="28"/>
          <w:u w:val="single"/>
        </w:rPr>
        <w:t>一</w:t>
      </w:r>
      <w:r>
        <w:rPr>
          <w:rFonts w:hint="eastAsia" w:ascii="Times New Roman" w:hAnsi="Times New Roman" w:eastAsia="仿宋_GB2312" w:cs="仿宋"/>
          <w:color w:val="000000"/>
          <w:sz w:val="28"/>
          <w:szCs w:val="28"/>
        </w:rPr>
        <w:t>份财务科。</w:t>
      </w:r>
    </w:p>
    <w:sectPr>
      <w:pgSz w:w="11906" w:h="16838"/>
      <w:pgMar w:top="1440" w:right="174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jEzYjkwMjQwMzYwYmM5YjgzODc2YTI3NTM5MGUxM2EifQ=="/>
  </w:docVars>
  <w:rsids>
    <w:rsidRoot w:val="00000000"/>
    <w:rsid w:val="77F21BC0"/>
    <w:rsid w:val="EF5E5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3015</Words>
  <Characters>3320</Characters>
  <Lines>142</Lines>
  <Paragraphs>35</Paragraphs>
  <TotalTime>0</TotalTime>
  <ScaleCrop>false</ScaleCrop>
  <LinksUpToDate>false</LinksUpToDate>
  <CharactersWithSpaces>3683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2019-10-17T07:50:00Z</dcterms:created>
  <dc:creator>df</dc:creator>
  <cp:lastModifiedBy>娄立达</cp:lastModifiedBy>
  <cp:lastPrinted>2022-06-10T07:33:00Z</cp:lastPrinted>
  <dcterms:modified xsi:type="dcterms:W3CDTF">2025-07-04T08:11:08Z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CA259EC911574B07AA82C2A79821D122</vt:lpwstr>
  </property>
</Properties>
</file>