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05B95">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14:paraId="18A2039C">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353F33EA">
      <w:pPr>
        <w:wordWrap w:val="0"/>
        <w:snapToGrid w:val="0"/>
        <w:spacing w:before="312" w:beforeLines="100" w:after="312" w:afterLines="100" w:line="520" w:lineRule="exact"/>
        <w:jc w:val="center"/>
        <w:rPr>
          <w:rFonts w:ascii="仿宋" w:hAnsi="仿宋" w:eastAsia="仿宋" w:cs="仿宋"/>
          <w:color w:val="000000"/>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rPr>
        <w:t xml:space="preserve">  </w:t>
      </w:r>
      <w:r>
        <w:rPr>
          <w:rFonts w:hint="eastAsia" w:ascii="仿宋" w:hAnsi="仿宋" w:eastAsia="仿宋" w:cs="仿宋"/>
          <w:color w:val="000000"/>
          <w:sz w:val="32"/>
          <w:szCs w:val="32"/>
        </w:rPr>
        <w:t>冀市监秦处〔2025〕13030125000039号</w:t>
      </w:r>
    </w:p>
    <w:p w14:paraId="392DD143">
      <w:pPr>
        <w:spacing w:line="520" w:lineRule="exact"/>
        <w:rPr>
          <w:rFonts w:ascii="仿宋" w:hAnsi="仿宋" w:eastAsia="仿宋" w:cs="??_GB2312"/>
          <w:sz w:val="32"/>
          <w:szCs w:val="32"/>
        </w:rPr>
      </w:pPr>
      <w:r>
        <w:rPr>
          <w:rFonts w:hint="eastAsia" w:ascii="仿宋" w:hAnsi="仿宋" w:eastAsia="仿宋" w:cs="??_GB2312"/>
          <w:sz w:val="32"/>
          <w:szCs w:val="32"/>
        </w:rPr>
        <w:t>当事人：宏岳塑胶集团股份有限公司；</w:t>
      </w:r>
    </w:p>
    <w:p w14:paraId="7874C416">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6298DA2D">
      <w:pPr>
        <w:spacing w:line="500" w:lineRule="exact"/>
        <w:ind w:left="140" w:hanging="140"/>
        <w:rPr>
          <w:rFonts w:ascii="仿宋" w:hAnsi="仿宋" w:eastAsia="仿宋" w:cs="Mongolian Baiti"/>
          <w:kern w:val="1"/>
          <w:sz w:val="32"/>
          <w:szCs w:val="32"/>
        </w:rPr>
      </w:pPr>
      <w:r>
        <w:rPr>
          <w:rFonts w:hint="eastAsia" w:ascii="仿宋" w:hAnsi="仿宋" w:eastAsia="仿宋" w:cs="??_GB2312"/>
          <w:sz w:val="32"/>
          <w:szCs w:val="32"/>
        </w:rPr>
        <w:t>统一社会信用代码：91130301731396483H；</w:t>
      </w:r>
      <w:r>
        <w:rPr>
          <w:rFonts w:ascii="仿宋" w:hAnsi="仿宋" w:eastAsia="仿宋" w:cs="Mongolian Baiti"/>
          <w:kern w:val="1"/>
          <w:sz w:val="32"/>
          <w:szCs w:val="32"/>
        </w:rPr>
        <w:t xml:space="preserve">                                   </w:t>
      </w:r>
    </w:p>
    <w:p w14:paraId="4FFF06C4">
      <w:pPr>
        <w:spacing w:line="500" w:lineRule="exact"/>
        <w:rPr>
          <w:rFonts w:ascii="仿宋" w:hAnsi="仿宋" w:eastAsia="仿宋" w:cs="Mongolian Baiti"/>
          <w:kern w:val="1"/>
          <w:sz w:val="32"/>
          <w:szCs w:val="32"/>
        </w:rPr>
      </w:pPr>
      <w:r>
        <w:rPr>
          <w:rFonts w:hint="eastAsia" w:ascii="仿宋" w:hAnsi="仿宋" w:eastAsia="仿宋" w:cs="??_GB2312"/>
          <w:sz w:val="32"/>
          <w:szCs w:val="32"/>
        </w:rPr>
        <w:t>住所（住址）：</w:t>
      </w:r>
      <w:r>
        <w:rPr>
          <w:rFonts w:hint="eastAsia" w:ascii="仿宋" w:hAnsi="仿宋" w:eastAsia="仿宋" w:cs="??_GB2312"/>
          <w:sz w:val="32"/>
          <w:szCs w:val="32"/>
          <w:lang w:eastAsia="zh-CN"/>
        </w:rPr>
        <w:t>秦皇岛经济技术开发区</w:t>
      </w:r>
      <w:r>
        <w:rPr>
          <w:rFonts w:hint="eastAsia" w:ascii="仿宋" w:hAnsi="仿宋" w:eastAsia="仿宋" w:cs="??_GB2312"/>
          <w:sz w:val="32"/>
          <w:szCs w:val="32"/>
        </w:rPr>
        <w:t>龙海道81号；</w:t>
      </w:r>
      <w:r>
        <w:rPr>
          <w:rFonts w:ascii="仿宋" w:hAnsi="仿宋" w:eastAsia="仿宋" w:cs="Mongolian Baiti"/>
          <w:bCs/>
          <w:kern w:val="1"/>
          <w:sz w:val="32"/>
          <w:szCs w:val="32"/>
        </w:rPr>
        <w:t xml:space="preserve">                                               </w:t>
      </w:r>
    </w:p>
    <w:p w14:paraId="375C79AA">
      <w:pPr>
        <w:spacing w:line="500" w:lineRule="exact"/>
        <w:rPr>
          <w:rFonts w:ascii="仿宋" w:hAnsi="仿宋" w:eastAsia="仿宋" w:cs="Mongolian Baiti"/>
          <w:kern w:val="1"/>
          <w:sz w:val="32"/>
          <w:szCs w:val="32"/>
        </w:rPr>
      </w:pPr>
      <w:r>
        <w:rPr>
          <w:rFonts w:hint="eastAsia" w:ascii="仿宋" w:hAnsi="仿宋" w:eastAsia="仿宋" w:cs="??_GB2312"/>
          <w:sz w:val="32"/>
          <w:szCs w:val="32"/>
        </w:rPr>
        <w:t>法定代表人（负责人、经营者）：马君；</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3E17942D">
      <w:pPr>
        <w:spacing w:line="500" w:lineRule="exact"/>
        <w:ind w:left="140" w:hanging="140"/>
        <w:rPr>
          <w:rFonts w:ascii="仿宋" w:hAnsi="仿宋" w:eastAsia="仿宋" w:cs="Mongolian Baiti"/>
          <w:sz w:val="32"/>
          <w:szCs w:val="32"/>
        </w:rPr>
      </w:pPr>
      <w:r>
        <w:rPr>
          <w:rFonts w:hint="eastAsia" w:ascii="仿宋" w:hAnsi="仿宋" w:eastAsia="仿宋" w:cs="宋体"/>
          <w:spacing w:val="-26"/>
          <w:kern w:val="1"/>
          <w:sz w:val="32"/>
          <w:szCs w:val="32"/>
        </w:rPr>
        <w:t>身份证号码：</w:t>
      </w:r>
      <w:r>
        <w:rPr>
          <w:rFonts w:hint="eastAsia" w:ascii="仿宋" w:hAnsi="仿宋" w:eastAsia="仿宋" w:cs="??_GB2312"/>
          <w:sz w:val="32"/>
          <w:szCs w:val="32"/>
        </w:rPr>
        <w:t xml:space="preserve"> 13030219**********。</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47E9A892">
      <w:pPr>
        <w:adjustRightInd w:val="0"/>
        <w:spacing w:line="312" w:lineRule="auto"/>
        <w:ind w:firstLine="640" w:firstLineChars="200"/>
        <w:textAlignment w:val="baseline"/>
        <w:rPr>
          <w:rFonts w:ascii="仿宋" w:hAnsi="仿宋" w:eastAsia="仿宋" w:cs="宋体"/>
          <w:bCs/>
          <w:color w:val="000000"/>
          <w:sz w:val="32"/>
          <w:szCs w:val="32"/>
        </w:rPr>
      </w:pPr>
      <w:r>
        <w:rPr>
          <w:rFonts w:hint="eastAsia" w:ascii="仿宋" w:hAnsi="仿宋" w:eastAsia="仿宋" w:cs="宋体"/>
          <w:bCs/>
          <w:color w:val="000000"/>
          <w:sz w:val="32"/>
          <w:szCs w:val="32"/>
        </w:rPr>
        <w:t xml:space="preserve"> 办案来源于部门移送。2025年5月16日，本局两名执法人员依据十堰市张湾区市场监督管理局移送的《案件移送函》（张湾市监案移</w:t>
      </w:r>
      <w:r>
        <w:rPr>
          <w:rFonts w:hint="eastAsia" w:ascii="仿宋" w:hAnsi="仿宋" w:eastAsia="仿宋" w:cs="宋体"/>
          <w:bCs/>
          <w:color w:val="000000"/>
          <w:sz w:val="32"/>
          <w:szCs w:val="32"/>
          <w:lang w:eastAsia="zh-CN"/>
        </w:rPr>
        <w:t>〔2025〕11号</w:t>
      </w:r>
      <w:r>
        <w:rPr>
          <w:rFonts w:hint="eastAsia" w:ascii="仿宋" w:hAnsi="仿宋" w:eastAsia="仿宋" w:cs="宋体"/>
          <w:bCs/>
          <w:color w:val="000000"/>
          <w:sz w:val="32"/>
          <w:szCs w:val="32"/>
        </w:rPr>
        <w:t>)以及相关证据资料，对当事人位于</w:t>
      </w:r>
      <w:r>
        <w:rPr>
          <w:rFonts w:hint="eastAsia" w:ascii="仿宋" w:hAnsi="仿宋" w:eastAsia="仿宋" w:cs="宋体"/>
          <w:bCs/>
          <w:color w:val="000000"/>
          <w:sz w:val="32"/>
          <w:szCs w:val="32"/>
          <w:lang w:eastAsia="zh-CN"/>
        </w:rPr>
        <w:t>秦皇岛经济技术开发区</w:t>
      </w:r>
      <w:r>
        <w:rPr>
          <w:rFonts w:hint="eastAsia" w:ascii="仿宋" w:hAnsi="仿宋" w:eastAsia="仿宋" w:cs="宋体"/>
          <w:bCs/>
          <w:color w:val="000000"/>
          <w:sz w:val="32"/>
          <w:szCs w:val="32"/>
        </w:rPr>
        <w:t>龙海道81号的经营场所进行了现场检查，当事人对该《案件移送函》以及相关证据资料认定的有关事实予以认可，无异议。为进一步调查案情，经分局部门负责人批准，本局于2025年5月20日予以立案调查。</w:t>
      </w:r>
    </w:p>
    <w:p w14:paraId="064D4A7A">
      <w:pPr>
        <w:adjustRightInd w:val="0"/>
        <w:spacing w:line="312" w:lineRule="auto"/>
        <w:ind w:firstLine="640" w:firstLineChars="200"/>
        <w:textAlignment w:val="baseline"/>
        <w:rPr>
          <w:rFonts w:ascii="仿宋" w:hAnsi="仿宋" w:eastAsia="仿宋" w:cs="宋体"/>
          <w:bCs/>
          <w:color w:val="000000"/>
          <w:sz w:val="32"/>
          <w:szCs w:val="32"/>
        </w:rPr>
      </w:pPr>
      <w:r>
        <w:rPr>
          <w:rFonts w:hint="eastAsia" w:ascii="仿宋" w:hAnsi="仿宋" w:eastAsia="仿宋" w:cs="宋体"/>
          <w:bCs/>
          <w:color w:val="000000"/>
          <w:sz w:val="32"/>
          <w:szCs w:val="32"/>
        </w:rPr>
        <w:t xml:space="preserve">经查，2023年3月19日，当事人与十堰市华昌物资贸易有限公司（以下简称华昌物资公司）签订《PPR管材样品生产委托函》，当事人按照要求为华昌物资公司生产“PPR管材（冷热水用无规共聚聚丙烯管材）”（规格型号：dn20×en2.8mm，颜色：绿色）数量：60米，在15天内完成该批次产品的生产并存放在当事人库房内，具体交付时间以华昌物资公司通知为准。2023年3月21日，当事人下达了该批次产品生产数量：500米的任务单，2023年3月23日生产该批次产品数量：500米，并于当日完成了成品入库。2023年3月24日，当事人用于产品自检使用该批次产品数量：20米。2023年4月10日，当事人向唐山宏岳商贸有限公司销售该批次产品数量：420米。2024年12月22日，华昌物资公司向当事人提出了发货要求并支付了货款；2024年12月24日，当事人将该批次产品出库并放置到指定点货区；2024年12月25日，该批次产品被运往华昌物资公司。经当事人成本核算，该批次产品生产成本：3.05元/米，成本合计：1525元；该批次产品销售价格：3.63元/米。                                         </w:t>
      </w:r>
    </w:p>
    <w:p w14:paraId="3D7B8711">
      <w:pPr>
        <w:adjustRightInd w:val="0"/>
        <w:spacing w:line="312" w:lineRule="auto"/>
        <w:ind w:firstLine="640" w:firstLineChars="200"/>
        <w:textAlignment w:val="baseline"/>
        <w:rPr>
          <w:rFonts w:ascii="仿宋" w:hAnsi="仿宋" w:eastAsia="仿宋" w:cs="宋体"/>
          <w:bCs/>
          <w:color w:val="000000"/>
          <w:sz w:val="32"/>
          <w:szCs w:val="32"/>
        </w:rPr>
      </w:pPr>
      <w:r>
        <w:rPr>
          <w:rFonts w:hint="eastAsia" w:ascii="仿宋" w:hAnsi="仿宋" w:eastAsia="仿宋" w:cs="宋体"/>
          <w:bCs/>
          <w:color w:val="000000"/>
          <w:sz w:val="32"/>
          <w:szCs w:val="32"/>
        </w:rPr>
        <w:t>2025年3月18日，十堰市张湾区市场监督管理局委托山东腾翔产品质量检测有限公司对当事人生产、销售给华昌物资公司的该批次PP-R冷热水管材（生产日期/批号：2023-03-23，型号规格S3.2dn20×2.8mm  3米）进行了产品质量监督抽检，2025年4月9日出具了检验检测报告（报告编号：TXZY/20250318268），检验结论：经检验，规格及尺寸项目不符合GB/T18742.2-2017标准要求，依据《湖北省无规共聚聚丙烯（PP-R）管材质量监督抽查实施细则（2024年版）》判定为被抽查产品不合格。2025年4月16日，十堰市张湾区市场监督管理局向华昌物资公司送达了《检验结果告知书》（张市监检果告字</w:t>
      </w:r>
      <w:r>
        <w:rPr>
          <w:rFonts w:hint="eastAsia" w:ascii="仿宋" w:hAnsi="仿宋" w:eastAsia="仿宋" w:cs="宋体"/>
          <w:bCs/>
          <w:color w:val="000000"/>
          <w:sz w:val="32"/>
          <w:szCs w:val="32"/>
          <w:lang w:eastAsia="zh-CN"/>
        </w:rPr>
        <w:t>〔2025〕1号</w:t>
      </w:r>
      <w:r>
        <w:rPr>
          <w:rFonts w:hint="eastAsia" w:ascii="仿宋" w:hAnsi="仿宋" w:eastAsia="仿宋" w:cs="宋体"/>
          <w:bCs/>
          <w:color w:val="000000"/>
          <w:sz w:val="32"/>
          <w:szCs w:val="32"/>
        </w:rPr>
        <w:t>），告知其该批次产品检验结果为不合格。2025年4月22日，十堰市张湾区市场监督管理局委托十堰市工业产品质量检验检测所对该批次产品的备用样品进行了复检，2025年4月27日出具了检验报告（N0：2025Z0001），检验结论：所检项目不符合GB/T18742.2-2017《冷热水用聚丙烯管道系统 第2部分：管材》。2025年5月6日，十堰市张湾区市场监督管理局分别向当事人、华昌物资公司出具了《张湾区产品质量监督抽查复检结论通知书》（张抽异通</w:t>
      </w:r>
      <w:r>
        <w:rPr>
          <w:rFonts w:hint="eastAsia" w:ascii="仿宋" w:hAnsi="仿宋" w:eastAsia="仿宋" w:cs="宋体"/>
          <w:bCs/>
          <w:color w:val="000000"/>
          <w:sz w:val="32"/>
          <w:szCs w:val="32"/>
          <w:lang w:eastAsia="zh-CN"/>
        </w:rPr>
        <w:t>〔2025〕1号</w:t>
      </w:r>
      <w:r>
        <w:rPr>
          <w:rFonts w:hint="eastAsia" w:ascii="仿宋" w:hAnsi="仿宋" w:eastAsia="仿宋" w:cs="宋体"/>
          <w:bCs/>
          <w:color w:val="000000"/>
          <w:sz w:val="32"/>
          <w:szCs w:val="32"/>
        </w:rPr>
        <w:t xml:space="preserve">），告知其：该局已对该批次PP-R冷热水管材（型号规格S3.2dn20×2.8mm）备用样品进行复检，结果为不合格；复检结果为最终结论。当事人对上述事项予以认可，无异议。                                </w:t>
      </w:r>
    </w:p>
    <w:p w14:paraId="49D027CE">
      <w:pPr>
        <w:adjustRightInd w:val="0"/>
        <w:spacing w:line="312" w:lineRule="auto"/>
        <w:ind w:firstLine="640" w:firstLineChars="200"/>
        <w:textAlignment w:val="baseline"/>
        <w:rPr>
          <w:rFonts w:ascii="仿宋" w:hAnsi="仿宋" w:eastAsia="仿宋" w:cs="宋体"/>
          <w:bCs/>
          <w:color w:val="000000"/>
          <w:sz w:val="32"/>
          <w:szCs w:val="32"/>
        </w:rPr>
      </w:pPr>
      <w:r>
        <w:rPr>
          <w:rFonts w:hint="eastAsia" w:ascii="仿宋" w:hAnsi="仿宋" w:eastAsia="仿宋" w:cs="宋体"/>
          <w:bCs/>
          <w:color w:val="000000"/>
          <w:sz w:val="32"/>
          <w:szCs w:val="32"/>
        </w:rPr>
        <w:t>2025年5月17日，当事人向华昌物资公司和唐山宏岳商贸有限公司发出产品召回通知，对其生产、销售的该批次“PP-R冷热水管材”进行召回。2025年5月20日，当事人由华昌物资公司召回该批次产品数量：24米。2025年5月21日，本局向当事人下达了《实施行政强制措施决定书》，对当事人召回的24</w:t>
      </w:r>
      <w:r>
        <w:rPr>
          <w:rFonts w:hint="eastAsia" w:ascii="仿宋" w:hAnsi="仿宋" w:eastAsia="仿宋" w:cs="宋体"/>
          <w:bCs/>
          <w:color w:val="000000"/>
          <w:sz w:val="32"/>
          <w:szCs w:val="32"/>
          <w:lang w:eastAsia="zh-CN"/>
        </w:rPr>
        <w:t>件</w:t>
      </w:r>
      <w:r>
        <w:rPr>
          <w:rFonts w:hint="eastAsia" w:ascii="仿宋" w:hAnsi="仿宋" w:eastAsia="仿宋" w:cs="宋体"/>
          <w:bCs/>
          <w:color w:val="000000"/>
          <w:sz w:val="32"/>
          <w:szCs w:val="32"/>
        </w:rPr>
        <w:t>该批次产品实施扣押的行政强制措施。2025年 6月19日，本局向当事人下达了《延长行政强制措施期限决定书》，对该批次产品的行政强制措施期限延长三十日。 经计算，当事人违法生产、销售该批次产品的货值金额：1815元，违法所得：290元。</w:t>
      </w:r>
    </w:p>
    <w:p w14:paraId="5492E229">
      <w:pPr>
        <w:spacing w:line="520" w:lineRule="exact"/>
        <w:rPr>
          <w:rFonts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14:paraId="61DBE788">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1.当事人营业执照、法定代表人马君身份证复印件各一份；证明了当事人的基本信息以及法定代表人的身份信息等情况。                                           </w:t>
      </w:r>
    </w:p>
    <w:p w14:paraId="4979488F">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2.当事人为受托人马钢出具的授权委托书一份；受托人马钢身份证复印件一份；证明了受托人身份信息以及当事人授权委托的真实性以及委托权限等相关事项。                      </w:t>
      </w:r>
    </w:p>
    <w:p w14:paraId="2C760697">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3.十堰市张湾区市场监督管理局案件移送函（张湾市监案移</w:t>
      </w:r>
      <w:r>
        <w:rPr>
          <w:rFonts w:hint="eastAsia" w:ascii="仿宋" w:hAnsi="仿宋" w:eastAsia="仿宋" w:cs="宋体"/>
          <w:bCs/>
          <w:color w:val="000000"/>
          <w:sz w:val="32"/>
          <w:szCs w:val="32"/>
          <w:lang w:eastAsia="zh-CN"/>
        </w:rPr>
        <w:t>〔2025〕11号</w:t>
      </w:r>
      <w:r>
        <w:rPr>
          <w:rFonts w:hint="eastAsia" w:ascii="仿宋" w:hAnsi="仿宋" w:eastAsia="仿宋" w:cs="宋体"/>
          <w:bCs/>
          <w:color w:val="000000"/>
          <w:sz w:val="32"/>
          <w:szCs w:val="32"/>
        </w:rPr>
        <w:t xml:space="preserve">）和附件：1、检验检测报告两份、检验结果告知书一份和产品质量监督抽查复检结论通知书一份；2、供货商营业执照原件一份、进货票据原件一份和供货商产品检验报告两份；证明了十堰市张湾区市场监督管理局对当事人生产、销售的该批次“PP-R冷热水管材”进行监督抽查以及该批次产品不符合保障人体健康和人身、财产安全的国家标准的真实性等相关事项。                                                     </w:t>
      </w:r>
    </w:p>
    <w:p w14:paraId="6C1D0E6D">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4.对当事人经营场所现场笔录二份、现场检查照片打印件六份；对当事人授权委托人马钢所做询问笔录一份；当事人的生产计划单一份、实壁管生产线操作工自检表、管材生产重量记录表、产成品入库单各一份；成品核算表一份；当事人的出库单三份、当事人的销售订单、提货单各二份；证明了当事人生产、销售不符合保障人体健康和人身、财产安全的国家标准的产品的违法行为以及货值金额、违法所得等相关事项。                        </w:t>
      </w:r>
    </w:p>
    <w:p w14:paraId="30725349">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5. 当事人提供的召回通知二份；产品召回接收函二份，证明了当事人对该批次涉案产品实施产品召回等相关事项。                                 </w:t>
      </w:r>
    </w:p>
    <w:p w14:paraId="275C49EA">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6.对当事人下达的《实施行政强制措施决定书》《延长行政强制措施期限决定书》以及财务清单各一份；证明了本局对当事人所生产、销售的该批次产品实施扣押的行政强制措施等相关事项。                                                   </w:t>
      </w:r>
    </w:p>
    <w:p w14:paraId="5EB692CD">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7.当事人下达的《责令改正通知书》以及当事人整改报告各一份，证明了本局对当事人生产、销售的不符合保障人体健康和人身、财产安全的国家标准的产品的违法行为进行责令限期改正以及当事人进行改正的相关事项。                                                                               </w:t>
      </w:r>
    </w:p>
    <w:p w14:paraId="7A4C717B">
      <w:pPr>
        <w:spacing w:line="520" w:lineRule="exact"/>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2025年6月16日，本局向当事人送达了《行政处罚告知书》（冀市监秦罚告〔2025〕13030125000039号），告知了本局拟作出行政处罚的内容及事实、理由、依据，当事人自收到该告知书之日起五个工作日内未行使陈述、申辩权。</w:t>
      </w:r>
    </w:p>
    <w:p w14:paraId="0D80BA57">
      <w:pPr>
        <w:spacing w:line="520" w:lineRule="exact"/>
        <w:ind w:firstLine="640" w:firstLineChars="200"/>
        <w:rPr>
          <w:rFonts w:ascii="仿宋" w:hAnsi="仿宋" w:eastAsia="仿宋" w:cs="仿宋"/>
          <w:bCs/>
          <w:color w:val="000000"/>
          <w:sz w:val="32"/>
          <w:szCs w:val="32"/>
        </w:rPr>
      </w:pPr>
      <w:r>
        <w:rPr>
          <w:rFonts w:hint="eastAsia" w:ascii="仿宋" w:hAnsi="仿宋" w:eastAsia="仿宋" w:cs="宋体"/>
          <w:bCs/>
          <w:color w:val="000000"/>
          <w:sz w:val="32"/>
          <w:szCs w:val="32"/>
        </w:rPr>
        <w:t xml:space="preserve">本局认为，当事人的上述行为违反了《中华人民共和国产品质量法》第十三条第一款：“可能危及人体健康和人身、财产安全的工业产品，必须符合保障人体健康和人身、财产安全的国家标准、行业标准；未制定国家标准、行业标准的，必须符合保障人体健康和人身、财产安全的要求。”的规定，属于销售不符合保障人体健康和人身、财产安全的国家标准的产品的违法行为。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657E0479">
      <w:pPr>
        <w:spacing w:line="520" w:lineRule="exact"/>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 xml:space="preserve">鉴于当事人所生产的该批次产品已全部售出，当事人虽能主动进行召回，但未能将已售出的该批次产品全部召回；依据《河北省市场监督管理系统行政处罚裁量权基准》第33·1的规定，对当事人可以处责令停止生产、销售，没收违法生产、销售的产品，并处违法生产、销售产品货值金额一点六倍以上二点四倍以下的罚款；有违法所得的，并处没收违法所得的处罚。                                            </w:t>
      </w:r>
    </w:p>
    <w:p w14:paraId="53D6157B">
      <w:pPr>
        <w:spacing w:line="520" w:lineRule="exact"/>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 xml:space="preserve">当事人事后积极配合市场监督管理部门调查，如实陈述违法事实，并主动提供证据材料；依据《河北省市场监督管理系统行政处罚裁量权适用规则》第十五条第（二）项：“当事人有下列情形之一，可以依法从轻或者减轻行政处罚：（二）积极配合市场监督管理机关调查，如实陈述违法事实并主动提供证据材料的；”的规定，对当事人可以依法从轻行政处罚。                                        </w:t>
      </w:r>
    </w:p>
    <w:p w14:paraId="41AF3E58">
      <w:pPr>
        <w:spacing w:line="520" w:lineRule="exact"/>
        <w:ind w:firstLine="640" w:firstLineChars="200"/>
        <w:rPr>
          <w:rFonts w:ascii="仿宋" w:hAnsi="仿宋" w:eastAsia="仿宋" w:cs="楷体_GB2312"/>
          <w:bCs/>
          <w:color w:val="000000"/>
          <w:sz w:val="32"/>
          <w:szCs w:val="32"/>
        </w:rPr>
      </w:pPr>
      <w:r>
        <w:rPr>
          <w:rFonts w:hint="eastAsia" w:ascii="仿宋" w:hAnsi="仿宋" w:eastAsia="仿宋" w:cs="宋体"/>
          <w:bCs/>
          <w:color w:val="000000"/>
          <w:sz w:val="32"/>
          <w:szCs w:val="32"/>
        </w:rPr>
        <w:t xml:space="preserve">结合案件实际情况，经综合考量，对当事人处没收违法生产、销售的产品，没收违法所得，并处违法生产、销售产品货值金额一点六倍以上二点四倍以下的罚款。  </w:t>
      </w:r>
      <w:r>
        <w:rPr>
          <w:rFonts w:hint="eastAsia" w:ascii="仿宋" w:hAnsi="仿宋" w:eastAsia="仿宋" w:cs="楷体_GB2312"/>
          <w:bCs/>
          <w:color w:val="000000"/>
          <w:sz w:val="32"/>
          <w:szCs w:val="32"/>
        </w:rPr>
        <w:t xml:space="preserve">                  </w:t>
      </w:r>
      <w:r>
        <w:rPr>
          <w:rFonts w:hint="eastAsia" w:ascii="仿宋" w:hAnsi="仿宋" w:eastAsia="仿宋" w:cs="??_GB2312"/>
          <w:sz w:val="32"/>
          <w:szCs w:val="32"/>
        </w:rPr>
        <w:t xml:space="preserve">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47C90033">
      <w:pPr>
        <w:spacing w:line="520" w:lineRule="exact"/>
        <w:ind w:firstLine="640" w:firstLineChars="200"/>
        <w:rPr>
          <w:rFonts w:ascii="仿宋" w:hAnsi="仿宋" w:eastAsia="仿宋" w:cs="楷体_GB2312"/>
          <w:bCs/>
          <w:color w:val="000000"/>
          <w:sz w:val="32"/>
          <w:szCs w:val="32"/>
        </w:rPr>
      </w:pPr>
      <w:r>
        <w:rPr>
          <w:rFonts w:hint="eastAsia" w:ascii="仿宋" w:hAnsi="仿宋" w:eastAsia="仿宋" w:cs="楷体_GB2312"/>
          <w:color w:val="000000"/>
          <w:sz w:val="32"/>
          <w:szCs w:val="32"/>
        </w:rPr>
        <w:t>综上，</w:t>
      </w:r>
      <w:r>
        <w:rPr>
          <w:rFonts w:hint="eastAsia" w:ascii="仿宋" w:hAnsi="仿宋" w:eastAsia="仿宋" w:cs="宋体"/>
          <w:bCs/>
          <w:color w:val="000000"/>
          <w:sz w:val="32"/>
          <w:szCs w:val="32"/>
        </w:rPr>
        <w:t>当事人的上述行为违反了《中华人民共和国产品质量法》第十三条第一款</w:t>
      </w:r>
      <w:r>
        <w:rPr>
          <w:rFonts w:hint="eastAsia" w:ascii="仿宋" w:hAnsi="仿宋" w:eastAsia="仿宋" w:cs="楷体_GB2312"/>
          <w:bCs/>
          <w:color w:val="000000"/>
          <w:sz w:val="32"/>
          <w:szCs w:val="32"/>
        </w:rPr>
        <w:t xml:space="preserve">的规定，依据《中华人民共和国产品质量法》第四十九条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的规定，参照《河北省市场监督管理系统行政处罚裁量权基准》第33·1、《河北省市场监督管理系统行政处罚裁量权适用规则》第十五条第（二）项的规定，责令当事人停止上述违法行为，并决定处罚如下：                                                       </w:t>
      </w:r>
    </w:p>
    <w:p w14:paraId="21BD92A7">
      <w:pPr>
        <w:spacing w:line="52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1、没收不合格产品：24米“PP-R冷热水管材”；</w:t>
      </w:r>
    </w:p>
    <w:p w14:paraId="6CA426AC">
      <w:pPr>
        <w:spacing w:line="52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2、没收违法所得人民币贰佰玖拾元整（290元）；</w:t>
      </w:r>
    </w:p>
    <w:p w14:paraId="7E53B2CF">
      <w:pPr>
        <w:spacing w:line="520" w:lineRule="exact"/>
        <w:ind w:firstLine="640" w:firstLineChars="200"/>
        <w:rPr>
          <w:rFonts w:ascii="仿宋" w:hAnsi="仿宋" w:eastAsia="仿宋" w:cs="楷体_GB2312"/>
          <w:bCs/>
          <w:color w:val="000000"/>
          <w:sz w:val="32"/>
          <w:szCs w:val="32"/>
        </w:rPr>
      </w:pPr>
      <w:r>
        <w:rPr>
          <w:rFonts w:hint="eastAsia" w:ascii="仿宋" w:hAnsi="仿宋" w:eastAsia="仿宋" w:cs="楷体_GB2312"/>
          <w:bCs/>
          <w:color w:val="000000"/>
          <w:sz w:val="32"/>
          <w:szCs w:val="32"/>
        </w:rPr>
        <w:t>3 、罚款人民币叁仟元整（3000元）；</w:t>
      </w:r>
    </w:p>
    <w:p w14:paraId="68B4C609">
      <w:pPr>
        <w:spacing w:line="520" w:lineRule="exact"/>
        <w:ind w:firstLine="640" w:firstLineChars="200"/>
        <w:rPr>
          <w:rFonts w:ascii="仿宋" w:hAnsi="仿宋" w:eastAsia="仿宋" w:cs="楷体_GB2312"/>
          <w:bCs/>
          <w:sz w:val="32"/>
          <w:szCs w:val="32"/>
        </w:rPr>
      </w:pPr>
      <w:r>
        <w:rPr>
          <w:rFonts w:hint="eastAsia" w:ascii="仿宋" w:hAnsi="仿宋" w:eastAsia="仿宋" w:cs="楷体_GB2312"/>
          <w:bCs/>
          <w:color w:val="000000"/>
          <w:sz w:val="32"/>
          <w:szCs w:val="32"/>
        </w:rPr>
        <w:t xml:space="preserve">上述罚没款合计人民币叁仟贰佰玖拾元整（3290元）。  </w:t>
      </w:r>
      <w:r>
        <w:rPr>
          <w:rFonts w:hint="eastAsia" w:ascii="仿宋" w:hAnsi="仿宋" w:eastAsia="仿宋" w:cs="宋体"/>
          <w:bCs/>
          <w:sz w:val="32"/>
          <w:szCs w:val="32"/>
        </w:rPr>
        <w:t xml:space="preserve">                                        </w:t>
      </w:r>
      <w:r>
        <w:rPr>
          <w:rFonts w:hint="eastAsia" w:ascii="仿宋" w:hAnsi="仿宋" w:eastAsia="仿宋" w:cs="楷体_GB2312"/>
          <w:sz w:val="32"/>
          <w:szCs w:val="32"/>
        </w:rPr>
        <w:t xml:space="preserve">                                                    </w:t>
      </w:r>
      <w:r>
        <w:rPr>
          <w:rFonts w:ascii="仿宋" w:hAnsi="仿宋" w:eastAsia="仿宋" w:cs="楷体_GB2312"/>
          <w:sz w:val="32"/>
          <w:szCs w:val="32"/>
        </w:rPr>
        <w:t xml:space="preserve">                   </w:t>
      </w:r>
      <w:r>
        <w:rPr>
          <w:rFonts w:hint="eastAsia" w:ascii="仿宋" w:hAnsi="仿宋" w:eastAsia="仿宋" w:cs="楷体_GB2312"/>
          <w:sz w:val="32"/>
          <w:szCs w:val="32"/>
        </w:rPr>
        <w:t xml:space="preserve">    </w:t>
      </w:r>
      <w:r>
        <w:rPr>
          <w:rFonts w:ascii="仿宋" w:hAnsi="仿宋" w:eastAsia="仿宋" w:cs="楷体_GB2312"/>
          <w:sz w:val="32"/>
          <w:szCs w:val="32"/>
        </w:rPr>
        <w:t xml:space="preserve">  </w:t>
      </w:r>
    </w:p>
    <w:p w14:paraId="1695066A">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rPr>
        <w:t>当事人应当自收到本处罚决定书之日起十五日内，将罚没款缴至秦皇岛银行金财支行（账户名称：秦皇岛市财政局，账号：634013010000002150）；罚没许可证正本编号：07000005，副本编号：07000005-1；到期不缴纳罚款的，依据《中华人民共和国行政处罚法》第七十二条的规定，本局将每日按罚款数额的</w:t>
      </w:r>
      <w:bookmarkStart w:id="0" w:name="_GoBack"/>
      <w:r>
        <w:rPr>
          <w:rFonts w:hint="eastAsia" w:ascii="仿宋" w:hAnsi="仿宋" w:eastAsia="仿宋" w:cs="宋体"/>
          <w:sz w:val="32"/>
          <w:szCs w:val="32"/>
        </w:rPr>
        <w:t>百分之三</w:t>
      </w:r>
      <w:bookmarkEnd w:id="0"/>
      <w:r>
        <w:rPr>
          <w:rFonts w:hint="eastAsia" w:ascii="仿宋" w:hAnsi="仿宋" w:eastAsia="仿宋" w:cs="宋体"/>
          <w:sz w:val="32"/>
          <w:szCs w:val="32"/>
        </w:rPr>
        <w:t xml:space="preserve">加处罚款，并依法申请人民法院强制执行。                                                                                                                                                           </w:t>
      </w:r>
    </w:p>
    <w:p w14:paraId="23A79000">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rPr>
        <w:t xml:space="preserve">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                             </w:t>
      </w:r>
    </w:p>
    <w:p w14:paraId="1DF3BD33">
      <w:pPr>
        <w:autoSpaceDE w:val="0"/>
        <w:autoSpaceDN w:val="0"/>
        <w:adjustRightInd w:val="0"/>
        <w:spacing w:after="20"/>
        <w:ind w:firstLine="640" w:firstLineChars="200"/>
        <w:jc w:val="left"/>
        <w:rPr>
          <w:rFonts w:ascii="仿宋" w:hAnsi="仿宋" w:eastAsia="仿宋" w:cs="宋体"/>
          <w:color w:val="000000"/>
          <w:sz w:val="32"/>
          <w:szCs w:val="32"/>
        </w:rPr>
      </w:pPr>
      <w:r>
        <w:rPr>
          <w:rFonts w:hint="eastAsia" w:ascii="仿宋" w:hAnsi="仿宋" w:eastAsia="仿宋" w:cs="宋体"/>
          <w:sz w:val="32"/>
          <w:szCs w:val="32"/>
        </w:rPr>
        <w:t xml:space="preserve">本局将依法向社会公示本行政处罚决定信息。             </w:t>
      </w:r>
      <w:r>
        <w:rPr>
          <w:rFonts w:hint="eastAsia" w:ascii="仿宋" w:hAnsi="仿宋" w:eastAsia="仿宋" w:cs="宋体"/>
          <w:color w:val="000000"/>
          <w:sz w:val="32"/>
          <w:szCs w:val="32"/>
        </w:rPr>
        <w:t xml:space="preserve"> </w:t>
      </w:r>
    </w:p>
    <w:p w14:paraId="08820DB4">
      <w:pPr>
        <w:adjustRightInd w:val="0"/>
        <w:snapToGrid w:val="0"/>
        <w:spacing w:line="460" w:lineRule="exact"/>
        <w:ind w:right="640" w:firstLine="4480" w:firstLineChars="1400"/>
        <w:textAlignment w:val="baseline"/>
        <w:rPr>
          <w:rFonts w:ascii="仿宋" w:hAnsi="仿宋" w:eastAsia="仿宋" w:cs="宋体"/>
          <w:color w:val="000000"/>
          <w:sz w:val="32"/>
          <w:szCs w:val="32"/>
        </w:rPr>
      </w:pPr>
    </w:p>
    <w:p w14:paraId="4F4B15EC">
      <w:pPr>
        <w:adjustRightInd w:val="0"/>
        <w:snapToGrid w:val="0"/>
        <w:spacing w:line="460" w:lineRule="exact"/>
        <w:ind w:right="640" w:firstLine="4480" w:firstLineChars="1400"/>
        <w:textAlignment w:val="baseline"/>
        <w:rPr>
          <w:rFonts w:ascii="仿宋" w:hAnsi="仿宋" w:eastAsia="仿宋" w:cs="宋体"/>
          <w:color w:val="000000"/>
          <w:sz w:val="32"/>
          <w:szCs w:val="32"/>
        </w:rPr>
      </w:pPr>
      <w:r>
        <w:rPr>
          <w:rFonts w:hint="eastAsia" w:ascii="仿宋" w:hAnsi="仿宋" w:eastAsia="仿宋" w:cs="宋体"/>
          <w:color w:val="000000"/>
          <w:sz w:val="32"/>
          <w:szCs w:val="32"/>
        </w:rPr>
        <w:t>秦皇岛市市场监督管理局</w:t>
      </w:r>
    </w:p>
    <w:p w14:paraId="1CBC1C44">
      <w:pPr>
        <w:adjustRightInd w:val="0"/>
        <w:snapToGrid w:val="0"/>
        <w:spacing w:line="460" w:lineRule="exact"/>
        <w:ind w:right="640" w:firstLine="4480" w:firstLineChars="1400"/>
        <w:textAlignment w:val="baseline"/>
        <w:rPr>
          <w:rFonts w:ascii="仿宋" w:hAnsi="仿宋" w:eastAsia="仿宋" w:cs="宋体"/>
          <w:color w:val="000000"/>
          <w:sz w:val="32"/>
          <w:szCs w:val="32"/>
        </w:rPr>
      </w:pPr>
      <w:r>
        <w:rPr>
          <w:rFonts w:hint="eastAsia" w:ascii="仿宋" w:hAnsi="仿宋" w:eastAsia="仿宋" w:cs="宋体"/>
          <w:color w:val="000000"/>
          <w:sz w:val="32"/>
          <w:szCs w:val="32"/>
        </w:rPr>
        <w:t xml:space="preserve">       （印章）                                                  </w:t>
      </w:r>
    </w:p>
    <w:p w14:paraId="552ABB97">
      <w:pPr>
        <w:spacing w:line="460" w:lineRule="exact"/>
        <w:ind w:right="640" w:firstLine="601"/>
        <w:jc w:val="center"/>
        <w:rPr>
          <w:rFonts w:ascii="仿宋" w:hAnsi="仿宋" w:eastAsia="仿宋" w:cs="宋体"/>
          <w:sz w:val="32"/>
          <w:szCs w:val="32"/>
        </w:rPr>
      </w:pPr>
      <w:r>
        <w:rPr>
          <w:rFonts w:hint="eastAsia" w:ascii="仿宋" w:hAnsi="仿宋" w:eastAsia="仿宋" w:cs="宋体"/>
          <w:color w:val="000000"/>
          <w:sz w:val="32"/>
          <w:szCs w:val="32"/>
        </w:rPr>
        <w:t xml:space="preserve">                         </w:t>
      </w:r>
      <w:r>
        <w:rPr>
          <w:rFonts w:hint="eastAsia" w:ascii="仿宋" w:hAnsi="仿宋" w:eastAsia="仿宋" w:cs="宋体"/>
          <w:sz w:val="32"/>
          <w:szCs w:val="32"/>
        </w:rPr>
        <w:t xml:space="preserve"> 2025年6月24日</w:t>
      </w:r>
    </w:p>
    <w:p w14:paraId="58BD94F8">
      <w:pPr>
        <w:spacing w:line="460" w:lineRule="exact"/>
        <w:ind w:right="640" w:firstLine="601"/>
        <w:jc w:val="center"/>
        <w:rPr>
          <w:rFonts w:ascii="仿宋" w:hAnsi="仿宋" w:eastAsia="仿宋" w:cs="宋体"/>
          <w:sz w:val="32"/>
          <w:szCs w:val="32"/>
        </w:rPr>
      </w:pPr>
    </w:p>
    <w:p w14:paraId="7EBA5C2B">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14:paraId="15B2C746">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14:paraId="50206A72">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sectPr>
      <w:footerReference r:id="rId3" w:type="default"/>
      <w:pgSz w:w="11906" w:h="16838"/>
      <w:pgMar w:top="1134" w:right="1417"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E2162">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6FB3339">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2D6E2E"/>
    <w:rsid w:val="003861B2"/>
    <w:rsid w:val="003D14F3"/>
    <w:rsid w:val="003E59AF"/>
    <w:rsid w:val="00455166"/>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319F8"/>
    <w:rsid w:val="00B44BED"/>
    <w:rsid w:val="00BD5B48"/>
    <w:rsid w:val="00C14840"/>
    <w:rsid w:val="00C573C9"/>
    <w:rsid w:val="00C64E14"/>
    <w:rsid w:val="00C80EBC"/>
    <w:rsid w:val="00CE36D2"/>
    <w:rsid w:val="00CE6A5B"/>
    <w:rsid w:val="00DB5217"/>
    <w:rsid w:val="00E12E17"/>
    <w:rsid w:val="00E246BC"/>
    <w:rsid w:val="00E40DEB"/>
    <w:rsid w:val="00EF02BE"/>
    <w:rsid w:val="00FB229E"/>
    <w:rsid w:val="00FF2AD2"/>
    <w:rsid w:val="01A93FA3"/>
    <w:rsid w:val="026223A4"/>
    <w:rsid w:val="042713C4"/>
    <w:rsid w:val="061848B6"/>
    <w:rsid w:val="07B65961"/>
    <w:rsid w:val="094B6716"/>
    <w:rsid w:val="09E94680"/>
    <w:rsid w:val="0B084B61"/>
    <w:rsid w:val="0CF34325"/>
    <w:rsid w:val="0D4B051E"/>
    <w:rsid w:val="0EFE2AE5"/>
    <w:rsid w:val="10064749"/>
    <w:rsid w:val="10782503"/>
    <w:rsid w:val="10C304B2"/>
    <w:rsid w:val="113D2127"/>
    <w:rsid w:val="127759F8"/>
    <w:rsid w:val="12E73960"/>
    <w:rsid w:val="1326357C"/>
    <w:rsid w:val="13CC244C"/>
    <w:rsid w:val="140972A7"/>
    <w:rsid w:val="16051582"/>
    <w:rsid w:val="17152542"/>
    <w:rsid w:val="17334211"/>
    <w:rsid w:val="18F14FE3"/>
    <w:rsid w:val="19200545"/>
    <w:rsid w:val="1967313B"/>
    <w:rsid w:val="19AE1D15"/>
    <w:rsid w:val="1A073B05"/>
    <w:rsid w:val="1C7A3D0A"/>
    <w:rsid w:val="1CD667D0"/>
    <w:rsid w:val="1E937BB8"/>
    <w:rsid w:val="1FA24A0E"/>
    <w:rsid w:val="20522F5E"/>
    <w:rsid w:val="22214E52"/>
    <w:rsid w:val="224705F5"/>
    <w:rsid w:val="225D7F73"/>
    <w:rsid w:val="23627A12"/>
    <w:rsid w:val="237635F6"/>
    <w:rsid w:val="25186BC6"/>
    <w:rsid w:val="26FC22A6"/>
    <w:rsid w:val="27802801"/>
    <w:rsid w:val="28465A37"/>
    <w:rsid w:val="288905E5"/>
    <w:rsid w:val="2B5F1D03"/>
    <w:rsid w:val="2CA141C1"/>
    <w:rsid w:val="2CE02D8A"/>
    <w:rsid w:val="2CED6129"/>
    <w:rsid w:val="2DD83397"/>
    <w:rsid w:val="2FC0496B"/>
    <w:rsid w:val="30B63F0F"/>
    <w:rsid w:val="317C04DD"/>
    <w:rsid w:val="320C17CA"/>
    <w:rsid w:val="322F2560"/>
    <w:rsid w:val="3293788C"/>
    <w:rsid w:val="32D95272"/>
    <w:rsid w:val="330D0BCD"/>
    <w:rsid w:val="338024EF"/>
    <w:rsid w:val="33CE2438"/>
    <w:rsid w:val="34930017"/>
    <w:rsid w:val="34C324BE"/>
    <w:rsid w:val="350C42EE"/>
    <w:rsid w:val="352553B4"/>
    <w:rsid w:val="353678DB"/>
    <w:rsid w:val="359605E4"/>
    <w:rsid w:val="360D7E33"/>
    <w:rsid w:val="36943D17"/>
    <w:rsid w:val="373830F8"/>
    <w:rsid w:val="37A12812"/>
    <w:rsid w:val="38830E0B"/>
    <w:rsid w:val="38A72FFF"/>
    <w:rsid w:val="38C951B7"/>
    <w:rsid w:val="39A46823"/>
    <w:rsid w:val="3A1C272D"/>
    <w:rsid w:val="3BC059D3"/>
    <w:rsid w:val="3D0A3D8A"/>
    <w:rsid w:val="3D1F7844"/>
    <w:rsid w:val="3D586038"/>
    <w:rsid w:val="3F8A20F7"/>
    <w:rsid w:val="41B234F8"/>
    <w:rsid w:val="423A41C8"/>
    <w:rsid w:val="42A83B00"/>
    <w:rsid w:val="43276CC9"/>
    <w:rsid w:val="43592C00"/>
    <w:rsid w:val="44612D2C"/>
    <w:rsid w:val="447119F7"/>
    <w:rsid w:val="45BC42A2"/>
    <w:rsid w:val="45C968CE"/>
    <w:rsid w:val="45DE4E6B"/>
    <w:rsid w:val="4711663E"/>
    <w:rsid w:val="472B5FDC"/>
    <w:rsid w:val="47B02837"/>
    <w:rsid w:val="47DB5022"/>
    <w:rsid w:val="48105DF6"/>
    <w:rsid w:val="48CA7928"/>
    <w:rsid w:val="4A857FAB"/>
    <w:rsid w:val="4D0E4C96"/>
    <w:rsid w:val="4D930C30"/>
    <w:rsid w:val="4E5A5650"/>
    <w:rsid w:val="4FA113E3"/>
    <w:rsid w:val="51843D8A"/>
    <w:rsid w:val="51D76FF1"/>
    <w:rsid w:val="52E22C40"/>
    <w:rsid w:val="539361A9"/>
    <w:rsid w:val="53E9451E"/>
    <w:rsid w:val="544C3832"/>
    <w:rsid w:val="556E7FB9"/>
    <w:rsid w:val="558A777C"/>
    <w:rsid w:val="56BF4844"/>
    <w:rsid w:val="578D6226"/>
    <w:rsid w:val="57F54A12"/>
    <w:rsid w:val="58747438"/>
    <w:rsid w:val="58ED5352"/>
    <w:rsid w:val="5A7B0A82"/>
    <w:rsid w:val="5B124E70"/>
    <w:rsid w:val="5B480E52"/>
    <w:rsid w:val="5C5869BC"/>
    <w:rsid w:val="5C902F0B"/>
    <w:rsid w:val="5CCE3A33"/>
    <w:rsid w:val="5CCE57E1"/>
    <w:rsid w:val="5CDA7BA2"/>
    <w:rsid w:val="5E364898"/>
    <w:rsid w:val="5E6C3504"/>
    <w:rsid w:val="5EB772E6"/>
    <w:rsid w:val="5F9C5F6A"/>
    <w:rsid w:val="60056957"/>
    <w:rsid w:val="60B31084"/>
    <w:rsid w:val="62C84A71"/>
    <w:rsid w:val="63384043"/>
    <w:rsid w:val="64E654CB"/>
    <w:rsid w:val="65013FCF"/>
    <w:rsid w:val="652E4ACF"/>
    <w:rsid w:val="65845E17"/>
    <w:rsid w:val="659E7FEC"/>
    <w:rsid w:val="66A0294B"/>
    <w:rsid w:val="675853C5"/>
    <w:rsid w:val="676E5BF7"/>
    <w:rsid w:val="680415E3"/>
    <w:rsid w:val="69C95843"/>
    <w:rsid w:val="6BF55FC2"/>
    <w:rsid w:val="6C9360FF"/>
    <w:rsid w:val="6D626C4C"/>
    <w:rsid w:val="6D761CA9"/>
    <w:rsid w:val="6E6A5169"/>
    <w:rsid w:val="6E783501"/>
    <w:rsid w:val="6FCF30CF"/>
    <w:rsid w:val="706A7B55"/>
    <w:rsid w:val="706B361B"/>
    <w:rsid w:val="709D2F56"/>
    <w:rsid w:val="71B4761C"/>
    <w:rsid w:val="722872EA"/>
    <w:rsid w:val="729700AC"/>
    <w:rsid w:val="73011F50"/>
    <w:rsid w:val="74EA5B80"/>
    <w:rsid w:val="773265F5"/>
    <w:rsid w:val="77723E99"/>
    <w:rsid w:val="787B77B8"/>
    <w:rsid w:val="79D42231"/>
    <w:rsid w:val="7A1C4ECC"/>
    <w:rsid w:val="7AC758F2"/>
    <w:rsid w:val="7C12462D"/>
    <w:rsid w:val="7CE04465"/>
    <w:rsid w:val="7D761851"/>
    <w:rsid w:val="7D9A64D2"/>
    <w:rsid w:val="7E437985"/>
    <w:rsid w:val="7E5F4B53"/>
    <w:rsid w:val="7E61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C00881-8ACD-49DF-980E-329DF313E66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3557</Words>
  <Characters>3937</Characters>
  <Lines>14</Lines>
  <Paragraphs>10</Paragraphs>
  <TotalTime>5</TotalTime>
  <ScaleCrop>false</ScaleCrop>
  <LinksUpToDate>false</LinksUpToDate>
  <CharactersWithSpaces>5246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D调的华丽</cp:lastModifiedBy>
  <cp:lastPrinted>2023-12-11T06:43:00Z</cp:lastPrinted>
  <dcterms:modified xsi:type="dcterms:W3CDTF">2025-06-24T09:06:26Z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331E67A037634590AA3C1F91CCBBB972</vt:lpwstr>
  </property>
  <property fmtid="{D5CDD505-2E9C-101B-9397-08002B2CF9AE}" pid="4" name="KSOTemplateDocerSaveRecord">
    <vt:lpwstr>eyJoZGlkIjoiMTBmYmEzNmI2YTFjNzA5M2VkODkxNzc0YjEwZGQxMjgiLCJ1c2VySWQiOiIxMDM4ODI1NDIyIn0=</vt:lpwstr>
  </property>
</Properties>
</file>