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88D3B">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14:paraId="7EF3DBBA">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14:paraId="2CD98104">
      <w:pPr>
        <w:wordWrap w:val="0"/>
        <w:snapToGrid w:val="0"/>
        <w:spacing w:before="312" w:beforeLines="100" w:after="312" w:afterLines="100" w:line="520" w:lineRule="exact"/>
        <w:jc w:val="center"/>
        <w:rPr>
          <w:rFonts w:ascii="仿宋" w:hAnsi="仿宋" w:eastAsia="仿宋" w:cs="仿宋"/>
          <w:color w:val="000000"/>
          <w:sz w:val="32"/>
          <w:szCs w:val="32"/>
        </w:rPr>
      </w:pPr>
      <w:r>
        <w:rPr>
          <w:rFonts w:ascii="仿宋" w:hAnsi="仿宋" w:eastAsia="仿宋" w:cs="Times New Roman"/>
          <w:szCs w:val="24"/>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5761990" cy="1270"/>
                        </a:xfrm>
                        <a:prstGeom prst="straightConnector1">
                          <a:avLst/>
                        </a:prstGeom>
                        <a:noFill/>
                        <a:ln w="19050" cap="sq">
                          <a:solidFill>
                            <a:srgbClr val="000000"/>
                          </a:solidFill>
                          <a:round/>
                        </a:ln>
                        <a:effectLst/>
                      </wps:spPr>
                      <wps:bodyPr/>
                    </wps:wsp>
                  </a:graphicData>
                </a:graphic>
              </wp:anchor>
            </w:drawing>
          </mc:Choice>
          <mc:Fallback>
            <w:pict>
              <v:shape id="_x0000_s1026" o:spid="_x0000_s1026" o:spt="32" type="#_x0000_t32" style="position:absolute;left:0pt;margin-left:2pt;margin-top:1638pt;height:0.1pt;width:453.7pt;z-index:251660288;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PK4rHQQCAADZAwAADgAAAAAAAAABACAAAAAp&#10;AQAAZHJzL2Uyb0RvYy54bWxQSwUGAAAAAAYABgBZAQAAnwUAAAAA&#10;">
                <v:fill on="f" focussize="0,0"/>
                <v:stroke weight="1.5pt" color="#000000" joinstyle="round" endcap="square"/>
                <v:imagedata o:title=""/>
                <o:lock v:ext="edit" aspectratio="f"/>
              </v:shape>
            </w:pict>
          </mc:Fallback>
        </mc:AlternateContent>
      </w:r>
      <w:r>
        <w:rPr>
          <w:rFonts w:ascii="仿宋" w:hAnsi="仿宋" w:eastAsia="仿宋" w:cs="仿宋"/>
          <w:color w:val="000000"/>
          <w:sz w:val="32"/>
          <w:szCs w:val="32"/>
        </w:rPr>
        <w:t xml:space="preserve">  </w:t>
      </w:r>
      <w:r>
        <w:rPr>
          <w:rFonts w:hint="eastAsia" w:ascii="仿宋" w:hAnsi="仿宋" w:eastAsia="仿宋" w:cs="仿宋"/>
          <w:color w:val="000000"/>
          <w:sz w:val="32"/>
          <w:szCs w:val="32"/>
        </w:rPr>
        <w:t>冀市监秦处〔2025〕13030125000032号</w:t>
      </w:r>
    </w:p>
    <w:p w14:paraId="1C3D662D">
      <w:pPr>
        <w:spacing w:line="360" w:lineRule="auto"/>
        <w:rPr>
          <w:rFonts w:ascii="仿宋" w:hAnsi="仿宋" w:eastAsia="仿宋" w:cs="??_GB2312"/>
          <w:sz w:val="32"/>
          <w:szCs w:val="32"/>
        </w:rPr>
      </w:pPr>
      <w:r>
        <w:rPr>
          <w:rFonts w:hint="eastAsia" w:ascii="仿宋" w:hAnsi="仿宋" w:eastAsia="仿宋" w:cs="??_GB2312"/>
          <w:sz w:val="32"/>
          <w:szCs w:val="32"/>
        </w:rPr>
        <w:t>当事人：</w:t>
      </w:r>
      <w:r>
        <w:rPr>
          <w:rFonts w:hint="eastAsia" w:ascii="仿宋" w:hAnsi="仿宋" w:eastAsia="仿宋" w:cs="仿宋"/>
          <w:sz w:val="32"/>
          <w:szCs w:val="32"/>
        </w:rPr>
        <w:t>秦皇岛菲凯特工业有限公司；</w:t>
      </w:r>
    </w:p>
    <w:p w14:paraId="35798C60">
      <w:pPr>
        <w:spacing w:line="360" w:lineRule="auto"/>
        <w:ind w:left="140" w:hanging="140"/>
        <w:rPr>
          <w:rFonts w:ascii="仿宋" w:hAnsi="仿宋" w:eastAsia="仿宋" w:cs="Mongolian Baiti"/>
          <w:sz w:val="32"/>
          <w:szCs w:val="32"/>
        </w:rPr>
      </w:pPr>
      <w:r>
        <w:rPr>
          <w:rFonts w:hint="eastAsia" w:ascii="仿宋" w:hAnsi="仿宋" w:eastAsia="仿宋" w:cs="宋体"/>
          <w:kern w:val="1"/>
          <w:sz w:val="32"/>
          <w:szCs w:val="32"/>
        </w:rPr>
        <w:t>主体资格证照名称：</w:t>
      </w:r>
      <w:r>
        <w:rPr>
          <w:rFonts w:hint="eastAsia" w:ascii="仿宋" w:hAnsi="仿宋" w:eastAsia="仿宋" w:cs="??_GB2312"/>
          <w:sz w:val="32"/>
          <w:szCs w:val="32"/>
        </w:rPr>
        <w:t>营业执照；</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14:paraId="5B515AD6">
      <w:pPr>
        <w:spacing w:line="360" w:lineRule="auto"/>
        <w:ind w:left="140" w:hanging="140"/>
        <w:rPr>
          <w:rFonts w:ascii="仿宋" w:hAnsi="仿宋" w:eastAsia="仿宋" w:cs="Mongolian Baiti"/>
          <w:kern w:val="1"/>
          <w:sz w:val="32"/>
          <w:szCs w:val="32"/>
        </w:rPr>
      </w:pPr>
      <w:r>
        <w:rPr>
          <w:rFonts w:hint="eastAsia" w:ascii="仿宋" w:hAnsi="仿宋" w:eastAsia="仿宋" w:cs="??_GB2312"/>
          <w:sz w:val="32"/>
          <w:szCs w:val="32"/>
        </w:rPr>
        <w:t>统一社会信用代码：</w:t>
      </w:r>
      <w:r>
        <w:rPr>
          <w:rFonts w:hint="eastAsia" w:ascii="仿宋" w:hAnsi="仿宋" w:eastAsia="仿宋" w:cs="仿宋"/>
          <w:sz w:val="32"/>
          <w:szCs w:val="32"/>
        </w:rPr>
        <w:t xml:space="preserve">911303016011000077；   </w:t>
      </w:r>
      <w:r>
        <w:rPr>
          <w:rFonts w:ascii="仿宋" w:hAnsi="仿宋" w:eastAsia="仿宋" w:cs="Mongolian Baiti"/>
          <w:kern w:val="1"/>
          <w:sz w:val="32"/>
          <w:szCs w:val="32"/>
        </w:rPr>
        <w:t xml:space="preserve">                               </w:t>
      </w:r>
    </w:p>
    <w:p w14:paraId="5EC69E5B">
      <w:pPr>
        <w:spacing w:line="360" w:lineRule="auto"/>
        <w:rPr>
          <w:rFonts w:ascii="仿宋" w:hAnsi="仿宋" w:eastAsia="仿宋" w:cs="Mongolian Baiti"/>
          <w:kern w:val="1"/>
          <w:sz w:val="32"/>
          <w:szCs w:val="32"/>
        </w:rPr>
      </w:pPr>
      <w:r>
        <w:rPr>
          <w:rFonts w:hint="eastAsia" w:ascii="仿宋" w:hAnsi="仿宋" w:eastAsia="仿宋" w:cs="??_GB2312"/>
          <w:sz w:val="32"/>
          <w:szCs w:val="32"/>
        </w:rPr>
        <w:t>住所（住址）：</w:t>
      </w:r>
      <w:r>
        <w:rPr>
          <w:rFonts w:hint="eastAsia" w:ascii="仿宋" w:hAnsi="仿宋" w:eastAsia="仿宋" w:cs="??_GB2312"/>
          <w:sz w:val="32"/>
          <w:szCs w:val="32"/>
          <w:lang w:eastAsia="zh-CN"/>
        </w:rPr>
        <w:t>秦皇岛经济技术开发区</w:t>
      </w:r>
      <w:r>
        <w:rPr>
          <w:rFonts w:hint="eastAsia" w:ascii="仿宋" w:hAnsi="仿宋" w:eastAsia="仿宋" w:cs="??_GB2312"/>
          <w:sz w:val="32"/>
          <w:szCs w:val="32"/>
        </w:rPr>
        <w:t>钱塘江道8号</w:t>
      </w:r>
      <w:r>
        <w:rPr>
          <w:rFonts w:hint="eastAsia" w:ascii="仿宋" w:hAnsi="仿宋" w:eastAsia="仿宋" w:cs="仿宋"/>
          <w:sz w:val="32"/>
          <w:szCs w:val="32"/>
        </w:rPr>
        <w:t>；</w:t>
      </w:r>
      <w:r>
        <w:rPr>
          <w:rFonts w:ascii="仿宋" w:hAnsi="仿宋" w:eastAsia="仿宋" w:cs="Mongolian Baiti"/>
          <w:bCs/>
          <w:kern w:val="1"/>
          <w:sz w:val="32"/>
          <w:szCs w:val="32"/>
        </w:rPr>
        <w:t xml:space="preserve">                                               </w:t>
      </w:r>
    </w:p>
    <w:p w14:paraId="1819AC81">
      <w:pPr>
        <w:spacing w:line="360" w:lineRule="auto"/>
        <w:rPr>
          <w:rFonts w:ascii="仿宋" w:hAnsi="仿宋" w:eastAsia="仿宋" w:cs="Mongolian Baiti"/>
          <w:kern w:val="1"/>
          <w:sz w:val="32"/>
          <w:szCs w:val="32"/>
        </w:rPr>
      </w:pPr>
      <w:r>
        <w:rPr>
          <w:rFonts w:hint="eastAsia" w:ascii="仿宋" w:hAnsi="仿宋" w:eastAsia="仿宋" w:cs="??_GB2312"/>
          <w:sz w:val="32"/>
          <w:szCs w:val="32"/>
        </w:rPr>
        <w:t>法定代表人（负责人、经营者）：</w:t>
      </w:r>
      <w:r>
        <w:rPr>
          <w:rFonts w:hint="eastAsia" w:ascii="仿宋" w:hAnsi="仿宋" w:eastAsia="仿宋" w:cs="仿宋"/>
          <w:sz w:val="32"/>
          <w:szCs w:val="32"/>
        </w:rPr>
        <w:t>张国民；</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14:paraId="00C038B5">
      <w:pPr>
        <w:spacing w:line="360" w:lineRule="auto"/>
        <w:ind w:left="140" w:hanging="140"/>
        <w:rPr>
          <w:rFonts w:ascii="仿宋" w:hAnsi="仿宋" w:eastAsia="仿宋" w:cs="Mongolian Baiti"/>
          <w:sz w:val="32"/>
          <w:szCs w:val="32"/>
        </w:rPr>
      </w:pPr>
      <w:r>
        <w:rPr>
          <w:rFonts w:hint="eastAsia" w:ascii="仿宋" w:hAnsi="仿宋" w:eastAsia="仿宋" w:cs="宋体"/>
          <w:spacing w:val="-26"/>
          <w:kern w:val="1"/>
          <w:sz w:val="32"/>
          <w:szCs w:val="32"/>
        </w:rPr>
        <w:t>身份证号码：</w:t>
      </w:r>
      <w:r>
        <w:rPr>
          <w:rFonts w:hint="eastAsia" w:ascii="仿宋" w:hAnsi="仿宋" w:eastAsia="仿宋" w:cs="仿宋"/>
          <w:sz w:val="32"/>
          <w:szCs w:val="32"/>
        </w:rPr>
        <w:t xml:space="preserve">13030219**********。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14:paraId="61A1D14D">
      <w:pPr>
        <w:spacing w:line="360" w:lineRule="auto"/>
        <w:ind w:right="233" w:rightChars="111"/>
        <w:jc w:val="left"/>
        <w:rPr>
          <w:rFonts w:ascii="仿宋" w:hAnsi="仿宋" w:eastAsia="仿宋" w:cs="仿宋"/>
          <w:sz w:val="32"/>
          <w:szCs w:val="32"/>
        </w:rPr>
      </w:pPr>
      <w:r>
        <w:rPr>
          <w:rFonts w:hint="eastAsia" w:ascii="仿宋" w:hAnsi="仿宋" w:eastAsia="仿宋" w:cs="仿宋"/>
          <w:sz w:val="32"/>
          <w:szCs w:val="32"/>
        </w:rPr>
        <w:t xml:space="preserve">   本案来源于上级交办。2025年5月29日，秦皇岛市市场监督管理局经济技术开发区分局两名执法人员依据上级交办的违法线索以及相关的证据资料对当事人位于</w:t>
      </w:r>
      <w:r>
        <w:rPr>
          <w:rFonts w:hint="eastAsia" w:ascii="仿宋" w:hAnsi="仿宋" w:eastAsia="仿宋" w:cs="仿宋"/>
          <w:sz w:val="32"/>
          <w:szCs w:val="32"/>
          <w:lang w:eastAsia="zh-CN"/>
        </w:rPr>
        <w:t>秦皇岛经济技术开发区</w:t>
      </w:r>
      <w:r>
        <w:rPr>
          <w:rFonts w:hint="eastAsia" w:ascii="仿宋" w:hAnsi="仿宋" w:eastAsia="仿宋" w:cs="??_GB2312"/>
          <w:sz w:val="32"/>
          <w:szCs w:val="32"/>
        </w:rPr>
        <w:t>钱塘江道8号</w:t>
      </w:r>
      <w:r>
        <w:rPr>
          <w:rFonts w:hint="eastAsia" w:ascii="仿宋" w:hAnsi="仿宋" w:eastAsia="仿宋" w:cs="仿宋"/>
          <w:sz w:val="32"/>
          <w:szCs w:val="32"/>
        </w:rPr>
        <w:t>的经营场所进行了现场检查，当事人现场负责人张馨阳全程配合检查，并提供了当事人营业执照等相关的证明资料。当事人对执法人员现场出示的其违法线索及证据资料予以认可，无异议。为进一步调查案情，经分局部门负责人批准，本局于2025年6月4日予以立案调查。</w:t>
      </w:r>
    </w:p>
    <w:p w14:paraId="24B5CE62">
      <w:pPr>
        <w:spacing w:line="360" w:lineRule="auto"/>
        <w:ind w:right="233" w:rightChars="111" w:firstLine="640" w:firstLineChars="200"/>
        <w:jc w:val="left"/>
        <w:rPr>
          <w:rFonts w:ascii="仿宋" w:hAnsi="仿宋" w:eastAsia="仿宋" w:cs="仿宋"/>
          <w:sz w:val="32"/>
          <w:szCs w:val="32"/>
        </w:rPr>
      </w:pPr>
      <w:r>
        <w:rPr>
          <w:rFonts w:hint="eastAsia" w:ascii="仿宋" w:hAnsi="仿宋" w:eastAsia="仿宋" w:cs="仿宋"/>
          <w:sz w:val="32"/>
          <w:szCs w:val="32"/>
        </w:rPr>
        <w:t>经查，2023年5月12日，当事人生产了“多功能蘑菇头铝板集成模块”（名称：干式地暖模块，生产企业：秦皇岛菲凯特工业有限公司，地址：</w:t>
      </w:r>
      <w:r>
        <w:rPr>
          <w:rFonts w:hint="eastAsia" w:ascii="仿宋" w:hAnsi="仿宋" w:eastAsia="仿宋" w:cs="仿宋"/>
          <w:sz w:val="32"/>
          <w:szCs w:val="32"/>
          <w:lang w:eastAsia="zh-CN"/>
        </w:rPr>
        <w:t>秦皇岛经济技术开发区</w:t>
      </w:r>
      <w:r>
        <w:rPr>
          <w:rFonts w:hint="eastAsia" w:ascii="仿宋" w:hAnsi="仿宋" w:eastAsia="仿宋" w:cs="仿宋"/>
          <w:sz w:val="32"/>
          <w:szCs w:val="32"/>
        </w:rPr>
        <w:t xml:space="preserve">钱塘江道8号，执行标准：GB/T3880-2012/GB/T10801.2-2018，规格型号：蘑菇头MGTMK，生产批次：20230512，电话：0335-8508678）产品，并于2023年5月13日自检合格后待售。当事人提供该款产品的《产品质量证明书》，说明了该款产品的相关信息。                     </w:t>
      </w:r>
    </w:p>
    <w:p w14:paraId="4648E33E">
      <w:pPr>
        <w:spacing w:line="360" w:lineRule="auto"/>
        <w:ind w:right="233" w:rightChars="111" w:firstLine="640" w:firstLineChars="200"/>
        <w:jc w:val="left"/>
        <w:rPr>
          <w:rFonts w:ascii="仿宋" w:hAnsi="仿宋" w:eastAsia="仿宋" w:cs="仿宋"/>
          <w:sz w:val="32"/>
          <w:szCs w:val="32"/>
        </w:rPr>
      </w:pPr>
      <w:r>
        <w:rPr>
          <w:rFonts w:hint="eastAsia" w:ascii="仿宋" w:hAnsi="仿宋" w:eastAsia="仿宋" w:cs="仿宋"/>
          <w:sz w:val="32"/>
          <w:szCs w:val="32"/>
        </w:rPr>
        <w:t>2025年初，当事人通过其在淘宝网上设立的“淼道地暖企业店”网店销售上述产品。当事人在清楚其生产销售的该款“多功能蘑菇头铝板集成模块”不属于依法取得专利权的产品的情况下，对该款产品进行广告宣传时使用了：“多功能蘑菇头铝板集成模块 可做弯头 任意裁剪（专利产品）”的内容，谎称该款产品属于取得专利权的产品。鉴于当事人的上述行为，2025年5月29日，本局向当事人下达了《责令改正通知书》（秦市监责改</w:t>
      </w:r>
      <w:r>
        <w:rPr>
          <w:rFonts w:hint="eastAsia" w:ascii="仿宋" w:hAnsi="仿宋" w:eastAsia="仿宋" w:cs="仿宋"/>
          <w:sz w:val="32"/>
          <w:szCs w:val="32"/>
          <w:lang w:eastAsia="zh-CN"/>
        </w:rPr>
        <w:t>〔2025〕</w:t>
      </w:r>
      <w:r>
        <w:rPr>
          <w:rFonts w:hint="eastAsia" w:ascii="仿宋" w:hAnsi="仿宋" w:eastAsia="仿宋" w:cs="仿宋"/>
          <w:sz w:val="32"/>
          <w:szCs w:val="32"/>
        </w:rPr>
        <w:t xml:space="preserve"> 综27号），责令当事人立即予以改正。 2025年5月29日，当事人对在“淼道地暖企业店”网店所销售的该款产品以及相关广告内容进行下架删除、停止销售处理，主动消除影响；当事人就开展经营活动中存在的上述行为向本局提交了《整改报告》，并制定了整改措施。当事人在规定的期限内对开展经营活动中存在的上述行为进行了改正。 在调查期间未对当事人实施行政强制措施。        </w:t>
      </w:r>
    </w:p>
    <w:p w14:paraId="6167596A">
      <w:pPr>
        <w:spacing w:line="360" w:lineRule="auto"/>
        <w:rPr>
          <w:rFonts w:ascii="仿宋" w:hAnsi="仿宋" w:eastAsia="仿宋" w:cs="宋体"/>
          <w:b/>
          <w:bCs/>
          <w:color w:val="000000"/>
          <w:sz w:val="32"/>
          <w:szCs w:val="32"/>
        </w:rPr>
      </w:pPr>
      <w:r>
        <w:rPr>
          <w:rFonts w:hint="eastAsia" w:ascii="仿宋" w:hAnsi="仿宋" w:eastAsia="仿宋" w:cs="宋体"/>
          <w:b/>
          <w:bCs/>
          <w:color w:val="000000"/>
          <w:sz w:val="32"/>
          <w:szCs w:val="32"/>
        </w:rPr>
        <w:t>上述事实，主要有以下证据证明：</w:t>
      </w:r>
    </w:p>
    <w:p w14:paraId="1F2B37A1">
      <w:pPr>
        <w:spacing w:line="360" w:lineRule="auto"/>
        <w:ind w:right="233" w:rightChars="111" w:firstLine="640" w:firstLineChars="200"/>
        <w:jc w:val="left"/>
        <w:rPr>
          <w:rFonts w:ascii="仿宋" w:hAnsi="仿宋" w:eastAsia="仿宋" w:cs="仿宋"/>
          <w:sz w:val="32"/>
          <w:szCs w:val="32"/>
        </w:rPr>
      </w:pPr>
      <w:r>
        <w:rPr>
          <w:rFonts w:hint="eastAsia" w:ascii="仿宋" w:hAnsi="仿宋" w:eastAsia="仿宋" w:cs="仿宋"/>
          <w:sz w:val="32"/>
          <w:szCs w:val="32"/>
        </w:rPr>
        <w:t xml:space="preserve">1.当事人营业执照、法定代表人张国民身份证复印件各一份；证明了当事人的基本信息以及法定代表人的身份信息等相关事项。                                      </w:t>
      </w:r>
    </w:p>
    <w:p w14:paraId="269E76CE">
      <w:pPr>
        <w:spacing w:line="360" w:lineRule="auto"/>
        <w:ind w:right="233" w:rightChars="111" w:firstLine="640" w:firstLineChars="200"/>
        <w:jc w:val="left"/>
        <w:rPr>
          <w:rFonts w:ascii="仿宋" w:hAnsi="仿宋" w:eastAsia="仿宋" w:cs="仿宋"/>
          <w:sz w:val="32"/>
          <w:szCs w:val="32"/>
        </w:rPr>
      </w:pPr>
      <w:r>
        <w:rPr>
          <w:rFonts w:hint="eastAsia" w:ascii="仿宋" w:hAnsi="仿宋" w:eastAsia="仿宋" w:cs="仿宋"/>
          <w:sz w:val="32"/>
          <w:szCs w:val="32"/>
        </w:rPr>
        <w:t xml:space="preserve">2.当事人为授权委托人张馨阳出具的授权委托书一份；受托人张馨阳身份证复印件一份；证明了受托人身份信息以及当事人委托的真实性以及委托权限等相关事项。                       </w:t>
      </w:r>
    </w:p>
    <w:p w14:paraId="5FC552E7">
      <w:pPr>
        <w:spacing w:line="360" w:lineRule="auto"/>
        <w:ind w:right="233" w:rightChars="111" w:firstLine="640" w:firstLineChars="200"/>
        <w:jc w:val="left"/>
        <w:rPr>
          <w:rFonts w:ascii="仿宋" w:hAnsi="仿宋" w:eastAsia="仿宋" w:cs="仿宋"/>
          <w:sz w:val="32"/>
          <w:szCs w:val="32"/>
        </w:rPr>
      </w:pPr>
      <w:r>
        <w:rPr>
          <w:rFonts w:hint="eastAsia" w:ascii="仿宋" w:hAnsi="仿宋" w:eastAsia="仿宋" w:cs="仿宋"/>
          <w:sz w:val="32"/>
          <w:szCs w:val="32"/>
        </w:rPr>
        <w:t xml:space="preserve">3.秦皇岛市市场监督管理局网络交易和广告监督管理科交办的线索证据资料打印件一份；证明了当事人对未取得专利权的产品在广告中谎称取得专利权的线索来源等相关事项。                              </w:t>
      </w:r>
    </w:p>
    <w:p w14:paraId="2842CDD9">
      <w:pPr>
        <w:spacing w:line="360" w:lineRule="auto"/>
        <w:ind w:right="233" w:rightChars="111" w:firstLine="640" w:firstLineChars="200"/>
        <w:jc w:val="left"/>
        <w:rPr>
          <w:rFonts w:ascii="仿宋" w:hAnsi="仿宋" w:eastAsia="仿宋" w:cs="仿宋"/>
          <w:sz w:val="32"/>
          <w:szCs w:val="32"/>
        </w:rPr>
      </w:pPr>
      <w:r>
        <w:rPr>
          <w:rFonts w:hint="eastAsia" w:ascii="仿宋" w:hAnsi="仿宋" w:eastAsia="仿宋" w:cs="仿宋"/>
          <w:sz w:val="32"/>
          <w:szCs w:val="32"/>
        </w:rPr>
        <w:t xml:space="preserve">4.对当事人经营场所现场笔录一份、现场检查照片打印件六份；对当事人授权委托人张馨阳所做询问笔录一份；证明了当事人对未取得专利权的产品在广告中谎称取得专利权的违法事实等相关事项。                                                  </w:t>
      </w:r>
    </w:p>
    <w:p w14:paraId="73BB2D37">
      <w:pPr>
        <w:spacing w:line="360" w:lineRule="auto"/>
        <w:ind w:right="233" w:rightChars="111" w:firstLine="640" w:firstLineChars="200"/>
        <w:jc w:val="left"/>
        <w:rPr>
          <w:rFonts w:ascii="仿宋" w:hAnsi="仿宋" w:eastAsia="仿宋" w:cs="仿宋"/>
          <w:sz w:val="32"/>
          <w:szCs w:val="32"/>
        </w:rPr>
      </w:pPr>
      <w:r>
        <w:rPr>
          <w:rFonts w:hint="eastAsia" w:ascii="仿宋" w:hAnsi="仿宋" w:eastAsia="仿宋" w:cs="仿宋"/>
          <w:sz w:val="32"/>
          <w:szCs w:val="32"/>
        </w:rPr>
        <w:t xml:space="preserve">5.当事人提供的《产品质量证明书》打印件一份；证明了涉案产品的来源及相关信息等相关事项。                            </w:t>
      </w:r>
    </w:p>
    <w:p w14:paraId="0CB651FF">
      <w:pPr>
        <w:spacing w:line="360" w:lineRule="auto"/>
        <w:ind w:right="233" w:rightChars="111" w:firstLine="640" w:firstLineChars="200"/>
        <w:jc w:val="left"/>
        <w:rPr>
          <w:rFonts w:ascii="Times New Roman" w:hAnsi="??_GB2312" w:eastAsia="Times New Roman" w:cs="??_GB2312"/>
          <w:sz w:val="32"/>
          <w:szCs w:val="32"/>
        </w:rPr>
      </w:pPr>
      <w:r>
        <w:rPr>
          <w:rFonts w:hint="eastAsia" w:ascii="仿宋" w:hAnsi="仿宋" w:eastAsia="仿宋" w:cs="仿宋"/>
          <w:sz w:val="32"/>
          <w:szCs w:val="32"/>
        </w:rPr>
        <w:t>6.对当事人下达的《责令改正通知书》以及当事人整改报告、整改后图片打印件各一份，证明了本局对</w:t>
      </w:r>
      <w:r>
        <w:rPr>
          <w:rFonts w:hint="eastAsia" w:ascii="仿宋" w:hAnsi="仿宋" w:eastAsia="仿宋" w:cs="仿宋"/>
          <w:sz w:val="32"/>
          <w:szCs w:val="32"/>
          <w:lang w:eastAsia="zh-CN"/>
        </w:rPr>
        <w:t>当事人</w:t>
      </w:r>
      <w:r>
        <w:rPr>
          <w:rFonts w:hint="eastAsia" w:ascii="仿宋" w:hAnsi="仿宋" w:eastAsia="仿宋" w:cs="仿宋"/>
          <w:sz w:val="32"/>
          <w:szCs w:val="32"/>
        </w:rPr>
        <w:t xml:space="preserve">未取得专利权的产品在广告中谎称取得专利权的违法行为进行责令限期改正以及当事人进行改正等相关事项。  </w:t>
      </w:r>
      <w:r>
        <w:rPr>
          <w:rFonts w:hint="eastAsia" w:ascii="仿宋" w:hAnsi="仿宋" w:eastAsia="仿宋" w:cs="仿宋"/>
          <w:sz w:val="32"/>
          <w:szCs w:val="32"/>
          <w:lang w:val="zh-CN"/>
        </w:rPr>
        <w:t xml:space="preserve"> </w:t>
      </w:r>
      <w:r>
        <w:rPr>
          <w:rFonts w:hint="eastAsia" w:ascii="仿宋" w:hAnsi="仿宋" w:eastAsia="仿宋" w:cs="仿宋"/>
          <w:sz w:val="32"/>
          <w:szCs w:val="32"/>
        </w:rPr>
        <w:t xml:space="preserve">                               </w:t>
      </w:r>
      <w:r>
        <w:rPr>
          <w:rFonts w:ascii="Times New Roman" w:hAnsi="Times New Roman" w:eastAsia="宋体" w:cs="??_GB2312"/>
          <w:sz w:val="32"/>
          <w:szCs w:val="32"/>
        </w:rPr>
        <w:t xml:space="preserve">                 </w:t>
      </w:r>
      <w:r>
        <w:rPr>
          <w:rFonts w:hint="eastAsia" w:ascii="Times New Roman" w:hAnsi="Times New Roman" w:eastAsia="宋体" w:cs="??_GB2312"/>
          <w:sz w:val="32"/>
          <w:szCs w:val="32"/>
        </w:rPr>
        <w:t xml:space="preserve">             </w:t>
      </w:r>
      <w:r>
        <w:rPr>
          <w:rFonts w:ascii="Times New Roman" w:hAnsi="Times New Roman" w:eastAsia="宋体" w:cs="??_GB2312"/>
          <w:sz w:val="32"/>
          <w:szCs w:val="32"/>
        </w:rPr>
        <w:t xml:space="preserve"> </w:t>
      </w:r>
    </w:p>
    <w:p w14:paraId="417B42C2">
      <w:pPr>
        <w:spacing w:line="360" w:lineRule="auto"/>
        <w:ind w:firstLine="640" w:firstLineChars="200"/>
        <w:rPr>
          <w:rFonts w:ascii="仿宋" w:hAnsi="仿宋" w:eastAsia="仿宋" w:cs="宋体"/>
          <w:bCs/>
          <w:color w:val="000000"/>
          <w:sz w:val="32"/>
          <w:szCs w:val="32"/>
        </w:rPr>
      </w:pPr>
      <w:r>
        <w:rPr>
          <w:rFonts w:hint="eastAsia" w:ascii="仿宋" w:hAnsi="仿宋" w:eastAsia="仿宋" w:cs="宋体"/>
          <w:bCs/>
          <w:color w:val="000000"/>
          <w:sz w:val="32"/>
          <w:szCs w:val="32"/>
        </w:rPr>
        <w:t>2025年6月11日，本局向当事人送达了《行政处罚告知书》（冀市监秦罚告〔2025〕13030125000032号），告知了本局拟作出行政处罚的内容及事实、理由、依据，当事人自收到该告知书之日起五个工作日内未行使陈述、申辩权。</w:t>
      </w:r>
    </w:p>
    <w:p w14:paraId="651F68B6">
      <w:pPr>
        <w:spacing w:line="360" w:lineRule="auto"/>
        <w:ind w:firstLine="640" w:firstLineChars="200"/>
        <w:rPr>
          <w:rFonts w:ascii="仿宋" w:hAnsi="仿宋" w:eastAsia="仿宋" w:cs="楷体_GB2312"/>
          <w:bCs/>
          <w:color w:val="000000"/>
          <w:kern w:val="0"/>
          <w:sz w:val="32"/>
          <w:szCs w:val="32"/>
          <w:lang w:bidi="ar"/>
        </w:rPr>
      </w:pPr>
      <w:r>
        <w:rPr>
          <w:rFonts w:hint="eastAsia" w:ascii="仿宋" w:hAnsi="仿宋" w:eastAsia="仿宋" w:cs="楷体_GB2312"/>
          <w:bCs/>
          <w:color w:val="000000"/>
          <w:kern w:val="0"/>
          <w:sz w:val="32"/>
          <w:szCs w:val="32"/>
          <w:lang w:bidi="ar"/>
        </w:rPr>
        <w:t xml:space="preserve">本局认为，当事人的上述行为违反了《中华人民共和国广告法》第十二条第二款：“未取得专利权的，不得在广告中谎称取得专利权。”的规定，属于对未取得专利权的产品在广告中谎称取得专利权的违法行为。                                                                   </w:t>
      </w:r>
    </w:p>
    <w:p w14:paraId="138AC413">
      <w:pPr>
        <w:spacing w:line="360" w:lineRule="auto"/>
        <w:ind w:firstLine="640"/>
        <w:jc w:val="left"/>
        <w:rPr>
          <w:rFonts w:ascii="仿宋" w:hAnsi="仿宋" w:eastAsia="仿宋" w:cs="楷体_GB2312"/>
          <w:bCs/>
          <w:color w:val="000000"/>
          <w:kern w:val="0"/>
          <w:sz w:val="32"/>
          <w:szCs w:val="32"/>
          <w:lang w:bidi="ar"/>
        </w:rPr>
      </w:pPr>
      <w:r>
        <w:rPr>
          <w:rFonts w:hint="eastAsia" w:ascii="仿宋" w:hAnsi="仿宋" w:eastAsia="仿宋" w:cs="楷体_GB2312"/>
          <w:bCs/>
          <w:color w:val="000000"/>
          <w:kern w:val="0"/>
          <w:sz w:val="32"/>
          <w:szCs w:val="32"/>
          <w:lang w:bidi="ar"/>
        </w:rPr>
        <w:t>当事人对未取得专利权的产品在广告中谎称取得专利权的违法行为，违反了《中华人民共和国广告法》第十二条第二款的规定，依据《中华人民共和国广告法》第五十九条第一款第（三）项的规定，</w:t>
      </w:r>
      <w:bookmarkStart w:id="0" w:name="_GoBack"/>
      <w:r>
        <w:rPr>
          <w:rFonts w:hint="eastAsia" w:ascii="仿宋" w:hAnsi="仿宋" w:eastAsia="仿宋" w:cs="楷体_GB2312"/>
          <w:bCs/>
          <w:color w:val="000000"/>
          <w:kern w:val="0"/>
          <w:sz w:val="32"/>
          <w:szCs w:val="32"/>
          <w:lang w:bidi="ar"/>
        </w:rPr>
        <w:t>应</w:t>
      </w:r>
      <w:bookmarkEnd w:id="0"/>
      <w:r>
        <w:rPr>
          <w:rFonts w:hint="eastAsia" w:ascii="仿宋" w:hAnsi="仿宋" w:eastAsia="仿宋" w:cs="楷体_GB2312"/>
          <w:bCs/>
          <w:color w:val="000000"/>
          <w:kern w:val="0"/>
          <w:sz w:val="32"/>
          <w:szCs w:val="32"/>
          <w:lang w:bidi="ar"/>
        </w:rPr>
        <w:t xml:space="preserve">予以行政处罚。鉴于当事人事后积极配合市场监督管理部门调查，如实陈述违法事实，并主动提供证据材料；当事人主动对所销售的上述产品以及相关广告内容进行下架删除、停止销售处理，主动消除影响；依据《河北省市场监督管理系统行政处罚裁量权适用规则》第十五条第（二）项：“当事人有下列情形之一，可以依法从轻或者减轻行政处罚：（二）积极配合市场监督管理机关调查，如实陈述违法事实并主动提供证据材料的；”的规定，对当事人可以依法从轻行政处罚；依据《河北省市场监督管理系统行政裁量权基准（2024年版）》30·26：社会影响较小的：责令停止发布广告、对广告主处三万元以下的罚款。                                                 </w:t>
      </w:r>
    </w:p>
    <w:p w14:paraId="43C82ED1">
      <w:pPr>
        <w:spacing w:line="360" w:lineRule="auto"/>
        <w:ind w:firstLine="640"/>
        <w:jc w:val="left"/>
        <w:rPr>
          <w:rFonts w:ascii="仿宋" w:hAnsi="仿宋" w:eastAsia="仿宋" w:cs="楷体_GB2312"/>
          <w:bCs/>
          <w:color w:val="000000"/>
          <w:sz w:val="32"/>
          <w:szCs w:val="32"/>
        </w:rPr>
      </w:pPr>
      <w:r>
        <w:rPr>
          <w:rFonts w:hint="eastAsia" w:ascii="仿宋" w:hAnsi="仿宋" w:eastAsia="仿宋" w:cs="楷体_GB2312"/>
          <w:bCs/>
          <w:color w:val="000000"/>
          <w:kern w:val="0"/>
          <w:sz w:val="32"/>
          <w:szCs w:val="32"/>
          <w:lang w:bidi="ar"/>
        </w:rPr>
        <w:t xml:space="preserve">结合案件实际情况，经综合考量，对当事人从轻行政处罚，处三万元以下的罚款。 </w:t>
      </w:r>
      <w:r>
        <w:rPr>
          <w:rFonts w:hint="eastAsia" w:ascii="仿宋" w:hAnsi="仿宋" w:eastAsia="仿宋" w:cs="楷体_GB2312"/>
          <w:bCs/>
          <w:color w:val="000000"/>
          <w:sz w:val="32"/>
          <w:szCs w:val="32"/>
        </w:rPr>
        <w:t xml:space="preserve">                 </w:t>
      </w:r>
      <w:r>
        <w:rPr>
          <w:rFonts w:hint="eastAsia" w:ascii="仿宋" w:hAnsi="仿宋" w:eastAsia="仿宋" w:cs="??_GB2312"/>
          <w:sz w:val="32"/>
          <w:szCs w:val="32"/>
        </w:rPr>
        <w:t xml:space="preserve">     </w:t>
      </w:r>
      <w:r>
        <w:rPr>
          <w:rFonts w:ascii="仿宋" w:hAnsi="仿宋" w:eastAsia="仿宋" w:cs="楷体_GB2312"/>
          <w:bCs/>
          <w:color w:val="000000"/>
          <w:sz w:val="32"/>
          <w:szCs w:val="32"/>
        </w:rPr>
        <w:t xml:space="preserve">   </w:t>
      </w:r>
      <w:r>
        <w:rPr>
          <w:rFonts w:hint="eastAsia" w:ascii="仿宋" w:hAnsi="仿宋" w:eastAsia="仿宋" w:cs="楷体_GB2312"/>
          <w:bCs/>
          <w:color w:val="000000"/>
          <w:sz w:val="32"/>
          <w:szCs w:val="32"/>
        </w:rPr>
        <w:t xml:space="preserve">     </w:t>
      </w:r>
      <w:r>
        <w:rPr>
          <w:rFonts w:ascii="仿宋" w:hAnsi="仿宋" w:eastAsia="仿宋" w:cs="楷体_GB2312"/>
          <w:bCs/>
          <w:color w:val="000000"/>
          <w:sz w:val="32"/>
          <w:szCs w:val="32"/>
        </w:rPr>
        <w:t xml:space="preserve">                         </w:t>
      </w:r>
    </w:p>
    <w:p w14:paraId="2FCC9E9B">
      <w:pPr>
        <w:pStyle w:val="5"/>
        <w:widowControl/>
        <w:spacing w:beforeAutospacing="0" w:afterAutospacing="0" w:line="360" w:lineRule="auto"/>
        <w:ind w:firstLine="420"/>
        <w:rPr>
          <w:rFonts w:ascii="仿宋" w:hAnsi="仿宋" w:eastAsia="仿宋" w:cs="楷体_GB2312"/>
          <w:bCs/>
          <w:color w:val="000000"/>
          <w:sz w:val="32"/>
          <w:szCs w:val="32"/>
        </w:rPr>
      </w:pPr>
      <w:r>
        <w:rPr>
          <w:rFonts w:hint="eastAsia" w:ascii="仿宋" w:hAnsi="仿宋" w:eastAsia="仿宋" w:cs="楷体_GB2312"/>
          <w:color w:val="000000"/>
          <w:sz w:val="32"/>
          <w:szCs w:val="32"/>
        </w:rPr>
        <w:t xml:space="preserve"> 综上，</w:t>
      </w:r>
      <w:r>
        <w:rPr>
          <w:rFonts w:hint="eastAsia" w:ascii="仿宋" w:hAnsi="仿宋" w:eastAsia="仿宋" w:cs="楷体_GB2312"/>
          <w:bCs/>
          <w:color w:val="000000"/>
          <w:sz w:val="32"/>
          <w:szCs w:val="32"/>
        </w:rPr>
        <w:t xml:space="preserve">对当事人涉嫌对未取得专利权的产品在广告中谎称取得专利权的违法行为，依据《中华人民共和国广告法》第五十九条第一款第（三）项：“有下列行为之一的，由市场监督管理部门责令停止发布广告，对广告主处十万元以下的罚款：（三）涉及专利的广告违反本法第十二条规定的；”的规定，参照《河北省市场监督管理系统行政处罚裁量权适用规则》第十五条第（二）项、《河北省市场监督管理系统行政裁量权基准（2024年版）》30·26的规定，责令当事人停止上述违法行为，并决定处罚如下：                                                              </w:t>
      </w:r>
    </w:p>
    <w:p w14:paraId="1BC5BADC">
      <w:pPr>
        <w:pStyle w:val="5"/>
        <w:widowControl/>
        <w:spacing w:beforeAutospacing="0" w:after="226" w:afterAutospacing="0" w:line="360" w:lineRule="auto"/>
        <w:ind w:right="46" w:firstLine="640" w:firstLineChars="200"/>
        <w:jc w:val="both"/>
        <w:rPr>
          <w:rFonts w:ascii="仿宋" w:hAnsi="仿宋" w:eastAsia="仿宋" w:cs="楷体_GB2312"/>
          <w:bCs/>
          <w:sz w:val="32"/>
          <w:szCs w:val="32"/>
        </w:rPr>
      </w:pPr>
      <w:r>
        <w:rPr>
          <w:rFonts w:hint="eastAsia" w:ascii="仿宋" w:hAnsi="仿宋" w:eastAsia="仿宋" w:cs="楷体_GB2312"/>
          <w:bCs/>
          <w:color w:val="000000"/>
          <w:sz w:val="32"/>
          <w:szCs w:val="32"/>
        </w:rPr>
        <w:t>罚款</w:t>
      </w:r>
      <w:r>
        <w:rPr>
          <w:rFonts w:hint="eastAsia" w:ascii="仿宋" w:hAnsi="仿宋" w:eastAsia="仿宋" w:cs="楷体_GB2312"/>
          <w:bCs/>
          <w:color w:val="000000"/>
          <w:sz w:val="32"/>
          <w:szCs w:val="32"/>
          <w:lang w:bidi="ar"/>
        </w:rPr>
        <w:t xml:space="preserve">人民币贰仟元整（2000元）。 </w:t>
      </w:r>
      <w:r>
        <w:rPr>
          <w:rFonts w:hint="eastAsia" w:ascii="仿宋" w:hAnsi="仿宋" w:eastAsia="仿宋" w:cs="宋体"/>
          <w:bCs/>
          <w:sz w:val="32"/>
          <w:szCs w:val="32"/>
        </w:rPr>
        <w:t xml:space="preserve">                                         </w:t>
      </w:r>
      <w:r>
        <w:rPr>
          <w:rFonts w:hint="eastAsia" w:ascii="仿宋" w:hAnsi="仿宋" w:eastAsia="仿宋" w:cs="楷体_GB2312"/>
          <w:sz w:val="32"/>
          <w:szCs w:val="32"/>
        </w:rPr>
        <w:t xml:space="preserve">                                                    </w:t>
      </w:r>
      <w:r>
        <w:rPr>
          <w:rFonts w:ascii="仿宋" w:hAnsi="仿宋" w:eastAsia="仿宋" w:cs="楷体_GB2312"/>
          <w:sz w:val="32"/>
          <w:szCs w:val="32"/>
        </w:rPr>
        <w:t xml:space="preserve">                   </w:t>
      </w:r>
      <w:r>
        <w:rPr>
          <w:rFonts w:hint="eastAsia" w:ascii="仿宋" w:hAnsi="仿宋" w:eastAsia="仿宋" w:cs="楷体_GB2312"/>
          <w:sz w:val="32"/>
          <w:szCs w:val="32"/>
        </w:rPr>
        <w:t xml:space="preserve">    </w:t>
      </w:r>
      <w:r>
        <w:rPr>
          <w:rFonts w:ascii="仿宋" w:hAnsi="仿宋" w:eastAsia="仿宋" w:cs="楷体_GB2312"/>
          <w:sz w:val="32"/>
          <w:szCs w:val="32"/>
        </w:rPr>
        <w:t xml:space="preserve">  </w:t>
      </w:r>
    </w:p>
    <w:p w14:paraId="2BF1F77E">
      <w:pPr>
        <w:autoSpaceDE w:val="0"/>
        <w:autoSpaceDN w:val="0"/>
        <w:adjustRightInd w:val="0"/>
        <w:spacing w:after="20"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 xml:space="preserve">当事人应当自收到本处罚决定书之日起十五日内，将罚没款缴至秦皇岛银行金财支行（账户名称：秦皇岛市财政局，账号：634013010000002150）；罚没许可证正本编号：07000005，副本编号：07000005-1；到期不缴纳罚款的，依据《中华人民共和国行政处罚法》第七十二条的规定，本局将每日按罚款数额的百分之三加处罚款，并依法申请人民法院强制执行。                                                                                                                                                           </w:t>
      </w:r>
    </w:p>
    <w:p w14:paraId="21149C6D">
      <w:pPr>
        <w:autoSpaceDE w:val="0"/>
        <w:autoSpaceDN w:val="0"/>
        <w:adjustRightInd w:val="0"/>
        <w:spacing w:after="20"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 xml:space="preserve">如你（单位）不服本行政处罚决定，可以在收到本行政处罚决定书之日起六十日内向秦皇岛市人民政府申请行政复议；也可以在六个月内依法向秦皇岛市海港区人民法院提起行政诉讼。申请行政复议或者提起行政诉讼期间，行政处罚不停止执行。                             </w:t>
      </w:r>
    </w:p>
    <w:p w14:paraId="57F93771">
      <w:pPr>
        <w:autoSpaceDE w:val="0"/>
        <w:autoSpaceDN w:val="0"/>
        <w:adjustRightInd w:val="0"/>
        <w:spacing w:after="20" w:line="360" w:lineRule="auto"/>
        <w:ind w:firstLine="640" w:firstLineChars="200"/>
        <w:jc w:val="left"/>
        <w:rPr>
          <w:rFonts w:ascii="仿宋" w:hAnsi="仿宋" w:eastAsia="仿宋" w:cs="宋体"/>
          <w:color w:val="000000"/>
          <w:sz w:val="32"/>
          <w:szCs w:val="32"/>
        </w:rPr>
      </w:pPr>
      <w:r>
        <w:rPr>
          <w:rFonts w:hint="eastAsia" w:ascii="仿宋" w:hAnsi="仿宋" w:eastAsia="仿宋" w:cs="宋体"/>
          <w:sz w:val="32"/>
          <w:szCs w:val="32"/>
        </w:rPr>
        <w:t xml:space="preserve">本局将依法向社会公示本行政处罚决定信息。             </w:t>
      </w:r>
      <w:r>
        <w:rPr>
          <w:rFonts w:hint="eastAsia" w:ascii="仿宋" w:hAnsi="仿宋" w:eastAsia="仿宋" w:cs="宋体"/>
          <w:color w:val="000000"/>
          <w:sz w:val="32"/>
          <w:szCs w:val="32"/>
        </w:rPr>
        <w:t xml:space="preserve"> </w:t>
      </w:r>
    </w:p>
    <w:p w14:paraId="27A7262B">
      <w:pPr>
        <w:adjustRightInd w:val="0"/>
        <w:snapToGrid w:val="0"/>
        <w:spacing w:line="460" w:lineRule="exact"/>
        <w:ind w:right="640"/>
        <w:textAlignment w:val="baseline"/>
        <w:rPr>
          <w:rFonts w:ascii="仿宋" w:hAnsi="仿宋" w:eastAsia="仿宋" w:cs="宋体"/>
          <w:color w:val="000000"/>
          <w:sz w:val="32"/>
          <w:szCs w:val="32"/>
        </w:rPr>
      </w:pPr>
    </w:p>
    <w:p w14:paraId="2E35E2AD">
      <w:pPr>
        <w:adjustRightInd w:val="0"/>
        <w:snapToGrid w:val="0"/>
        <w:spacing w:line="460" w:lineRule="exact"/>
        <w:ind w:right="640"/>
        <w:textAlignment w:val="baseline"/>
        <w:rPr>
          <w:rFonts w:ascii="仿宋" w:hAnsi="仿宋" w:eastAsia="仿宋" w:cs="宋体"/>
          <w:color w:val="000000"/>
          <w:sz w:val="32"/>
          <w:szCs w:val="32"/>
        </w:rPr>
      </w:pPr>
    </w:p>
    <w:p w14:paraId="2501C09C">
      <w:pPr>
        <w:adjustRightInd w:val="0"/>
        <w:snapToGrid w:val="0"/>
        <w:spacing w:line="460" w:lineRule="exact"/>
        <w:ind w:right="640" w:firstLine="4480" w:firstLineChars="1400"/>
        <w:textAlignment w:val="baseline"/>
        <w:rPr>
          <w:rFonts w:ascii="仿宋" w:hAnsi="仿宋" w:eastAsia="仿宋" w:cs="宋体"/>
          <w:color w:val="000000"/>
          <w:sz w:val="32"/>
          <w:szCs w:val="32"/>
        </w:rPr>
      </w:pPr>
      <w:r>
        <w:rPr>
          <w:rFonts w:hint="eastAsia" w:ascii="仿宋" w:hAnsi="仿宋" w:eastAsia="仿宋" w:cs="宋体"/>
          <w:color w:val="000000"/>
          <w:sz w:val="32"/>
          <w:szCs w:val="32"/>
        </w:rPr>
        <w:t>秦皇岛市市场监督管理局</w:t>
      </w:r>
    </w:p>
    <w:p w14:paraId="57AD8E98">
      <w:pPr>
        <w:adjustRightInd w:val="0"/>
        <w:snapToGrid w:val="0"/>
        <w:spacing w:line="460" w:lineRule="exact"/>
        <w:ind w:right="640" w:firstLine="4480" w:firstLineChars="1400"/>
        <w:textAlignment w:val="baseline"/>
        <w:rPr>
          <w:rFonts w:ascii="仿宋" w:hAnsi="仿宋" w:eastAsia="仿宋" w:cs="宋体"/>
          <w:color w:val="000000"/>
          <w:sz w:val="32"/>
          <w:szCs w:val="32"/>
        </w:rPr>
      </w:pPr>
      <w:r>
        <w:rPr>
          <w:rFonts w:hint="eastAsia" w:ascii="仿宋" w:hAnsi="仿宋" w:eastAsia="仿宋" w:cs="宋体"/>
          <w:color w:val="000000"/>
          <w:sz w:val="32"/>
          <w:szCs w:val="32"/>
        </w:rPr>
        <w:t xml:space="preserve">       （印章）                                                  </w:t>
      </w:r>
    </w:p>
    <w:p w14:paraId="5FD8F431">
      <w:pPr>
        <w:spacing w:line="460" w:lineRule="exact"/>
        <w:ind w:right="640" w:firstLine="601"/>
        <w:jc w:val="center"/>
        <w:rPr>
          <w:rFonts w:ascii="仿宋" w:hAnsi="仿宋" w:eastAsia="仿宋" w:cs="宋体"/>
          <w:sz w:val="32"/>
          <w:szCs w:val="32"/>
        </w:rPr>
      </w:pPr>
      <w:r>
        <w:rPr>
          <w:rFonts w:hint="eastAsia" w:ascii="仿宋" w:hAnsi="仿宋" w:eastAsia="仿宋" w:cs="宋体"/>
          <w:color w:val="000000"/>
          <w:sz w:val="32"/>
          <w:szCs w:val="32"/>
        </w:rPr>
        <w:t xml:space="preserve">                         </w:t>
      </w:r>
      <w:r>
        <w:rPr>
          <w:rFonts w:hint="eastAsia" w:ascii="仿宋" w:hAnsi="仿宋" w:eastAsia="仿宋" w:cs="宋体"/>
          <w:sz w:val="32"/>
          <w:szCs w:val="32"/>
        </w:rPr>
        <w:t xml:space="preserve"> 2025年6月19日</w:t>
      </w:r>
    </w:p>
    <w:p w14:paraId="6956B62A">
      <w:pPr>
        <w:spacing w:line="460" w:lineRule="exact"/>
        <w:ind w:right="640" w:firstLine="601"/>
        <w:jc w:val="center"/>
        <w:rPr>
          <w:rFonts w:ascii="仿宋" w:hAnsi="仿宋" w:eastAsia="仿宋" w:cs="宋体"/>
          <w:sz w:val="32"/>
          <w:szCs w:val="32"/>
        </w:rPr>
      </w:pPr>
    </w:p>
    <w:p w14:paraId="43AE005F">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14:paraId="321D5C21">
      <w:pPr>
        <w:wordWrap w:val="0"/>
        <w:spacing w:line="520" w:lineRule="exact"/>
        <w:rPr>
          <w:rFonts w:ascii="仿宋" w:hAnsi="仿宋" w:eastAsia="仿宋" w:cs="宋体"/>
          <w:color w:val="000000"/>
          <w:sz w:val="32"/>
          <w:szCs w:val="32"/>
          <w:u w:val="single"/>
        </w:rPr>
      </w:pPr>
      <w:r>
        <w:rPr>
          <w:rFonts w:ascii="仿宋" w:hAnsi="仿宋" w:eastAsia="仿宋" w:cs="宋体"/>
          <w:sz w:val="32"/>
          <w:szCs w:val="32"/>
          <w:u w:val="single"/>
        </w:rPr>
        <mc:AlternateContent>
          <mc:Choice Requires="wps">
            <w:drawing>
              <wp:anchor distT="0" distB="0" distL="114300" distR="114300" simplePos="0" relativeHeight="251661312" behindDoc="0" locked="0" layoutInCell="1" allowOverlap="1">
                <wp:simplePos x="0" y="0"/>
                <wp:positionH relativeFrom="column">
                  <wp:posOffset>153035</wp:posOffset>
                </wp:positionH>
                <wp:positionV relativeFrom="paragraph">
                  <wp:posOffset>149860</wp:posOffset>
                </wp:positionV>
                <wp:extent cx="5550535" cy="63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50535" cy="635"/>
                        </a:xfrm>
                        <a:prstGeom prst="line">
                          <a:avLst/>
                        </a:prstGeom>
                        <a:noFill/>
                        <a:ln w="15875">
                          <a:solidFill>
                            <a:srgbClr val="000000"/>
                          </a:solidFill>
                          <a:round/>
                        </a:ln>
                        <a:effectLst/>
                      </wps:spPr>
                      <wps:bodyPr/>
                    </wps:wsp>
                  </a:graphicData>
                </a:graphic>
              </wp:anchor>
            </w:drawing>
          </mc:Choice>
          <mc:Fallback>
            <w:pict>
              <v:line id="_x0000_s1026" o:spid="_x0000_s1026" o:spt="20" style="position:absolute;left:0pt;margin-left:12.05pt;margin-top:11.8pt;height:0.05pt;width:437.05pt;z-index:251661312;mso-width-relative:page;mso-height-relative:page;" filled="f" stroked="t" coordsize="21600,21600" o:gfxdata="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uG&#10;HU3YAAAACAEAAA8AAAAAAAAAAQAgAAAAIgAAAGRycy9kb3ducmV2LnhtbFBLAQIUABQAAAAIAIdO&#10;4kDwx6y/6gEAALsDAAAOAAAAAAAAAAEAIAAAACcBAABkcnMvZTJvRG9jLnhtbFBLBQYAAAAABgAG&#10;AFkBAACDBQAAAAA=&#10;">
                <v:fill on="f" focussize="0,0"/>
                <v:stroke weight="1.25pt" color="#000000" joinstyle="round"/>
                <v:imagedata o:title=""/>
                <o:lock v:ext="edit" aspectratio="f"/>
              </v:line>
            </w:pict>
          </mc:Fallback>
        </mc:AlternateContent>
      </w:r>
    </w:p>
    <w:p w14:paraId="12D9518D">
      <w:pPr>
        <w:wordWrap w:val="0"/>
        <w:spacing w:line="520" w:lineRule="exact"/>
        <w:rPr>
          <w:rFonts w:asciiTheme="minorEastAsia" w:hAnsiTheme="minorEastAsia" w:cstheme="minorEastAsia"/>
          <w:sz w:val="32"/>
          <w:szCs w:val="32"/>
        </w:rPr>
      </w:pPr>
      <w:r>
        <w:rPr>
          <w:rFonts w:ascii="仿宋" w:hAnsi="仿宋" w:eastAsia="仿宋" w:cs="宋体"/>
          <w:sz w:val="32"/>
          <w:szCs w:val="32"/>
          <w:u w:val="singl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cap="sq">
                          <a:solidFill>
                            <a:srgbClr val="000000"/>
                          </a:solidFill>
                          <a:round/>
                        </a:ln>
                        <a:effectLst/>
                      </wps:spPr>
                      <wps:bodyPr/>
                    </wps:wsp>
                  </a:graphicData>
                </a:graphic>
              </wp:anchor>
            </w:drawing>
          </mc:Choice>
          <mc:Fallback>
            <w:pict>
              <v:line id="_x0000_s1026" o:spid="_x0000_s1026" o:spt="20" style="position:absolute;left:0pt;margin-left:0pt;margin-top:1638.35pt;height:0.1pt;width:453.75pt;z-index:251662336;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zkdcAAAAKAQAADwAAAAAAAAABACAAAAAiAAAAZHJzL2Rvd25yZXYueG1sUEsBAhQA&#10;FAAAAAgAh07iQE4ES0TzAQAAxAMAAA4AAAAAAAAAAQAgAAAAJgEAAGRycy9lMm9Eb2MueG1sUEsF&#10;BgAAAAAGAAYAWQEAAIsFAAAAAA==&#10;">
                <v:fill on="f" focussize="0,0"/>
                <v:stroke weight="0.737007874015748pt" color="#000000" joinstyle="round" endcap="square"/>
                <v:imagedata o:title=""/>
                <o:lock v:ext="edit" aspectratio="f"/>
              </v:line>
            </w:pict>
          </mc:Fallback>
        </mc:AlternateConten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theme="minorEastAsia"/>
          <w:color w:val="000000"/>
          <w:sz w:val="32"/>
          <w:szCs w:val="32"/>
        </w:rPr>
        <w:t>。</w:t>
      </w:r>
    </w:p>
    <w:sectPr>
      <w:footerReference r:id="rId3" w:type="default"/>
      <w:pgSz w:w="11906" w:h="16838"/>
      <w:pgMar w:top="1417" w:right="1417"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BA7FD">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58BDCF">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v:fill on="f" focussize="0,0"/>
              <v:stroke on="f"/>
              <v:imagedata o:title=""/>
              <o:lock v:ext="edit" aspectratio="f"/>
              <v:textbox inset="0mm,0mm,0mm,0mm" style="mso-fit-shape-to-text:t;">
                <w:txbxContent>
                  <w:p w14:paraId="0358BDCF">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ZTUzMDIyYWIwYjRmNTQ1YTQ5ZjMxNDE4NjU5YWUifQ=="/>
  </w:docVars>
  <w:rsids>
    <w:rsidRoot w:val="00261B45"/>
    <w:rsid w:val="00020638"/>
    <w:rsid w:val="0003337C"/>
    <w:rsid w:val="00081C4C"/>
    <w:rsid w:val="0017746D"/>
    <w:rsid w:val="001D64C4"/>
    <w:rsid w:val="00261B45"/>
    <w:rsid w:val="002B07B9"/>
    <w:rsid w:val="00362AC2"/>
    <w:rsid w:val="003861B2"/>
    <w:rsid w:val="003D14F3"/>
    <w:rsid w:val="003E59AF"/>
    <w:rsid w:val="004F2F16"/>
    <w:rsid w:val="00545F90"/>
    <w:rsid w:val="005812F4"/>
    <w:rsid w:val="005A1325"/>
    <w:rsid w:val="00601471"/>
    <w:rsid w:val="00612EA9"/>
    <w:rsid w:val="006326A6"/>
    <w:rsid w:val="007F7427"/>
    <w:rsid w:val="008337AA"/>
    <w:rsid w:val="00925A9B"/>
    <w:rsid w:val="00934C3A"/>
    <w:rsid w:val="00940A04"/>
    <w:rsid w:val="0097082C"/>
    <w:rsid w:val="009F19C5"/>
    <w:rsid w:val="009F212A"/>
    <w:rsid w:val="00A06519"/>
    <w:rsid w:val="00A178AB"/>
    <w:rsid w:val="00B44BED"/>
    <w:rsid w:val="00BD5B48"/>
    <w:rsid w:val="00C14840"/>
    <w:rsid w:val="00C573C9"/>
    <w:rsid w:val="00C80EBC"/>
    <w:rsid w:val="00CE36D2"/>
    <w:rsid w:val="00CE6A5B"/>
    <w:rsid w:val="00DB5217"/>
    <w:rsid w:val="00E12E17"/>
    <w:rsid w:val="00E246BC"/>
    <w:rsid w:val="00E2471A"/>
    <w:rsid w:val="00E40DEB"/>
    <w:rsid w:val="00EE3196"/>
    <w:rsid w:val="00EF02BE"/>
    <w:rsid w:val="00FB229E"/>
    <w:rsid w:val="00FF2AD2"/>
    <w:rsid w:val="01A93FA3"/>
    <w:rsid w:val="026223A4"/>
    <w:rsid w:val="042713C4"/>
    <w:rsid w:val="061848B6"/>
    <w:rsid w:val="07B65961"/>
    <w:rsid w:val="094B6716"/>
    <w:rsid w:val="099F6A65"/>
    <w:rsid w:val="09E94680"/>
    <w:rsid w:val="0B084B61"/>
    <w:rsid w:val="0B4C75B6"/>
    <w:rsid w:val="0CF34325"/>
    <w:rsid w:val="0D4B051E"/>
    <w:rsid w:val="0EFE2AE5"/>
    <w:rsid w:val="0F95761B"/>
    <w:rsid w:val="10064749"/>
    <w:rsid w:val="10782503"/>
    <w:rsid w:val="10C304B2"/>
    <w:rsid w:val="127759F8"/>
    <w:rsid w:val="1326357C"/>
    <w:rsid w:val="13CC244C"/>
    <w:rsid w:val="16051582"/>
    <w:rsid w:val="170C2552"/>
    <w:rsid w:val="17152542"/>
    <w:rsid w:val="17334211"/>
    <w:rsid w:val="18F14FE3"/>
    <w:rsid w:val="19200545"/>
    <w:rsid w:val="194118C7"/>
    <w:rsid w:val="1967313B"/>
    <w:rsid w:val="1A073B05"/>
    <w:rsid w:val="1C7A3D0A"/>
    <w:rsid w:val="1CD667D0"/>
    <w:rsid w:val="1D255A10"/>
    <w:rsid w:val="1E937BB8"/>
    <w:rsid w:val="1F1456ED"/>
    <w:rsid w:val="1FA24A0E"/>
    <w:rsid w:val="20522F5E"/>
    <w:rsid w:val="22214E52"/>
    <w:rsid w:val="224705F5"/>
    <w:rsid w:val="225D7F73"/>
    <w:rsid w:val="23627A12"/>
    <w:rsid w:val="237635F6"/>
    <w:rsid w:val="25186BC6"/>
    <w:rsid w:val="26FC22A6"/>
    <w:rsid w:val="27802801"/>
    <w:rsid w:val="28465A37"/>
    <w:rsid w:val="288905E5"/>
    <w:rsid w:val="2AB5050B"/>
    <w:rsid w:val="2B5F1D03"/>
    <w:rsid w:val="2CA141C1"/>
    <w:rsid w:val="2CE02D8A"/>
    <w:rsid w:val="2CED6129"/>
    <w:rsid w:val="2D6F4A9D"/>
    <w:rsid w:val="2DD83397"/>
    <w:rsid w:val="2FC0496B"/>
    <w:rsid w:val="317C04DD"/>
    <w:rsid w:val="320C17CA"/>
    <w:rsid w:val="322F2560"/>
    <w:rsid w:val="3293788C"/>
    <w:rsid w:val="330D0BCD"/>
    <w:rsid w:val="338024EF"/>
    <w:rsid w:val="33CE2438"/>
    <w:rsid w:val="34930017"/>
    <w:rsid w:val="34C324BE"/>
    <w:rsid w:val="350C42EE"/>
    <w:rsid w:val="352553B4"/>
    <w:rsid w:val="353678DB"/>
    <w:rsid w:val="359605E4"/>
    <w:rsid w:val="360D7E33"/>
    <w:rsid w:val="36943D17"/>
    <w:rsid w:val="373830F8"/>
    <w:rsid w:val="37A12812"/>
    <w:rsid w:val="38830E0B"/>
    <w:rsid w:val="38A72FFF"/>
    <w:rsid w:val="39A46823"/>
    <w:rsid w:val="3A1C272D"/>
    <w:rsid w:val="3AC52EF5"/>
    <w:rsid w:val="3B086DB2"/>
    <w:rsid w:val="3BC059D3"/>
    <w:rsid w:val="3D0A3D8A"/>
    <w:rsid w:val="3F8A20F7"/>
    <w:rsid w:val="41B234F8"/>
    <w:rsid w:val="423A41C8"/>
    <w:rsid w:val="43592C00"/>
    <w:rsid w:val="44612D2C"/>
    <w:rsid w:val="447119F7"/>
    <w:rsid w:val="45BC42A2"/>
    <w:rsid w:val="45DE4E6B"/>
    <w:rsid w:val="4711663E"/>
    <w:rsid w:val="472B5FDC"/>
    <w:rsid w:val="47B02837"/>
    <w:rsid w:val="47DB5022"/>
    <w:rsid w:val="48105DF6"/>
    <w:rsid w:val="4A857FAB"/>
    <w:rsid w:val="4AC14E81"/>
    <w:rsid w:val="4D0E4C96"/>
    <w:rsid w:val="4D930C30"/>
    <w:rsid w:val="4E5A5650"/>
    <w:rsid w:val="4FA113E3"/>
    <w:rsid w:val="51843D8A"/>
    <w:rsid w:val="52E22C40"/>
    <w:rsid w:val="544C3832"/>
    <w:rsid w:val="556E7FB9"/>
    <w:rsid w:val="558A777C"/>
    <w:rsid w:val="56BF4844"/>
    <w:rsid w:val="578D6226"/>
    <w:rsid w:val="57F54A12"/>
    <w:rsid w:val="58747438"/>
    <w:rsid w:val="58E6153D"/>
    <w:rsid w:val="58ED5352"/>
    <w:rsid w:val="59BF6F6E"/>
    <w:rsid w:val="5A7B0A82"/>
    <w:rsid w:val="5B124E70"/>
    <w:rsid w:val="5B480E52"/>
    <w:rsid w:val="5C5869BC"/>
    <w:rsid w:val="5C902F0B"/>
    <w:rsid w:val="5CCE3A33"/>
    <w:rsid w:val="5CCE57E1"/>
    <w:rsid w:val="5CDA7BA2"/>
    <w:rsid w:val="5D155D66"/>
    <w:rsid w:val="5E364898"/>
    <w:rsid w:val="5E6C3504"/>
    <w:rsid w:val="5EA62543"/>
    <w:rsid w:val="5EB772E6"/>
    <w:rsid w:val="5F9C5F6A"/>
    <w:rsid w:val="60056957"/>
    <w:rsid w:val="60B31084"/>
    <w:rsid w:val="62C84A71"/>
    <w:rsid w:val="63384043"/>
    <w:rsid w:val="64E654CB"/>
    <w:rsid w:val="65013FCF"/>
    <w:rsid w:val="652E4ACF"/>
    <w:rsid w:val="65845E17"/>
    <w:rsid w:val="659E7FEC"/>
    <w:rsid w:val="66A0294B"/>
    <w:rsid w:val="675853C5"/>
    <w:rsid w:val="676E5BF7"/>
    <w:rsid w:val="680415E3"/>
    <w:rsid w:val="698B4B07"/>
    <w:rsid w:val="69C95843"/>
    <w:rsid w:val="6BF55FC2"/>
    <w:rsid w:val="6C9360FF"/>
    <w:rsid w:val="6D626C4C"/>
    <w:rsid w:val="6D761CA9"/>
    <w:rsid w:val="6DFF1C9E"/>
    <w:rsid w:val="6E6A5169"/>
    <w:rsid w:val="6E783501"/>
    <w:rsid w:val="6FCF30CF"/>
    <w:rsid w:val="706B361B"/>
    <w:rsid w:val="709D2F56"/>
    <w:rsid w:val="71B4761C"/>
    <w:rsid w:val="722872EA"/>
    <w:rsid w:val="729700AC"/>
    <w:rsid w:val="73011F50"/>
    <w:rsid w:val="74EA5B80"/>
    <w:rsid w:val="773265F5"/>
    <w:rsid w:val="77723E99"/>
    <w:rsid w:val="79361F87"/>
    <w:rsid w:val="79D42231"/>
    <w:rsid w:val="7A1C4ECC"/>
    <w:rsid w:val="7C12462D"/>
    <w:rsid w:val="7CE04465"/>
    <w:rsid w:val="7D761851"/>
    <w:rsid w:val="7D9A64D2"/>
    <w:rsid w:val="7E5F4B53"/>
    <w:rsid w:val="7E610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rFonts w:cs="Times New Roman"/>
      <w:kern w:val="0"/>
      <w:sz w:val="24"/>
    </w:rPr>
  </w:style>
  <w:style w:type="character" w:styleId="8">
    <w:name w:val="page number"/>
    <w:basedOn w:val="7"/>
    <w:qFormat/>
    <w:uiPriority w:val="0"/>
  </w:style>
  <w:style w:type="character" w:customStyle="1" w:styleId="9">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9220E9-DC80-4A98-8D48-E2F6B09C5A7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2452</Words>
  <Characters>2661</Characters>
  <Lines>11</Lines>
  <Paragraphs>7</Paragraphs>
  <TotalTime>45</TotalTime>
  <ScaleCrop>false</ScaleCrop>
  <LinksUpToDate>false</LinksUpToDate>
  <CharactersWithSpaces>3824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D调的华丽</cp:lastModifiedBy>
  <cp:lastPrinted>2021-11-05T02:04:00Z</cp:lastPrinted>
  <dcterms:modified xsi:type="dcterms:W3CDTF">2025-06-19T06:54:33Z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8E777527C3624BCC8C9423297B398FF9_13</vt:lpwstr>
  </property>
  <property fmtid="{D5CDD505-2E9C-101B-9397-08002B2CF9AE}" pid="4" name="KSOTemplateDocerSaveRecord">
    <vt:lpwstr>eyJoZGlkIjoiMTBmYmEzNmI2YTFjNzA5M2VkODkxNzc0YjEwZGQxMjgiLCJ1c2VySWQiOiIxMDM4ODI1NDIyIn0=</vt:lpwstr>
  </property>
</Properties>
</file>