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免于办理强制性产品认证说明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行政</w:t>
      </w:r>
      <w:r>
        <w:rPr>
          <w:rFonts w:ascii="宋体" w:eastAsia="宋体" w:cs="宋体"/>
          <w:sz w:val="18"/>
          <w:szCs w:val="18"/>
        </w:rPr>
        <w:t>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《强制性产品认证管理规定》第四十二条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《中华人民共和国认证认可条例》第二十八条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p>
      <w:r>
        <w:t xml:space="preserve">1.为科研、测试和认证检测所需的产品和样品。 </w:t>
      </w:r>
    </w:p>
    <w:p>
      <w:r>
        <w:t>2.直接为最终用户维修目的所需的零部件、产品。</w:t>
      </w:r>
    </w:p>
    <w:p>
      <w:r>
        <w:t>3.工厂生产线/成套生产线配套所需的设备、零部件(不含办公用品)。</w:t>
      </w:r>
    </w:p>
    <w:p>
      <w:r>
        <w:t>4.仅用于商业展示但不销售的产品。</w:t>
      </w:r>
    </w:p>
    <w:p>
      <w:r>
        <w:t xml:space="preserve">5.以整机全数出口为目的进口的零部件。 </w:t>
      </w:r>
    </w:p>
    <w:p>
      <w:r>
        <w:t>6.其他因特殊用途免予办理强制性产品认证的情形。</w:t>
      </w:r>
    </w:p>
    <w:p>
      <w:pPr>
        <w:rPr>
          <w:rFonts w:hint="eastAsia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hint="eastAsia"/>
          <w:sz w:val="18"/>
          <w:szCs w:val="18"/>
        </w:rPr>
        <w:t>免于办理强制性产品认证说明</w:t>
      </w:r>
      <w:r>
        <w:rPr>
          <w:rFonts w:ascii="宋体"/>
          <w:color w:val="000000"/>
          <w:sz w:val="18"/>
          <w:szCs w:val="18"/>
        </w:rPr>
        <w:t>行政确认；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</w:rPr>
        <w:t>申请人需提交下列材料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</w:p>
    <w:tbl>
      <w:tblPr>
        <w:tblpPr w:leftFromText="180" w:rightFromText="180" w:vertAnchor="text" w:horzAnchor="page" w:tblpX="6156" w:tblpY="1"/>
        <w:tblOverlap w:val="never"/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5"/>
                <w:szCs w:val="15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 w:hint="eastAsia"/>
                <w:sz w:val="15"/>
                <w:szCs w:val="15"/>
              </w:rPr>
              <w:t>提交材料名称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 w:hint="eastAsia"/>
                <w:sz w:val="15"/>
                <w:szCs w:val="15"/>
              </w:rPr>
              <w:t>原件份数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 w:hint="eastAsia"/>
                <w:sz w:val="15"/>
                <w:szCs w:val="15"/>
              </w:rPr>
              <w:t>复印件份数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 w:hint="eastAsia"/>
                <w:sz w:val="15"/>
                <w:szCs w:val="15"/>
              </w:rPr>
              <w:t>材料来源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5"/>
                <w:szCs w:val="15"/>
                <w:vertAlign w:val="baseline"/>
              </w:rPr>
            </w:pPr>
            <w:r>
              <w:rPr>
                <w:rFonts w:ascii="宋体" w:eastAsia="宋体" w:cs="宋体" w:hint="eastAsia"/>
                <w:sz w:val="15"/>
                <w:szCs w:val="15"/>
              </w:rPr>
              <w:t>特定要求</w:t>
            </w:r>
          </w:p>
        </w:tc>
      </w:tr>
      <w:tr>
        <w:trPr>
          <w:trHeight w:val="43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</w:rPr>
              <w:t>营业执照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网上上传</w:t>
            </w:r>
          </w:p>
        </w:tc>
      </w:tr>
      <w:tr>
        <w:trPr>
          <w:trHeight w:val="102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ind w:left="0"/>
              <w:rPr>
                <w:rFonts w:ascii="宋体" w:cs="宋体" w:hint="eastAsia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后续管理承诺书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</w:rPr>
              <w:t>网上上传</w:t>
            </w:r>
          </w:p>
        </w:tc>
      </w:tr>
      <w:tr>
        <w:trPr>
          <w:trHeight w:val="10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int="eastAsia"/>
                <w:sz w:val="16"/>
                <w:szCs w:val="16"/>
              </w:rPr>
            </w:pPr>
            <w:r>
              <w:rPr>
                <w:rFonts w:ascii="宋体" w:cs="Arial" w:hint="eastAsia"/>
                <w:color w:val="000000"/>
                <w:sz w:val="16"/>
                <w:szCs w:val="16"/>
              </w:rPr>
              <w:t>“该工厂生产线成套设备生产线的相关证明材料”或“关于相应产品符合国内安全标准的承诺”或“成品出口合同或关于相应产品符合国内安全标准的承诺”或“</w:t>
            </w:r>
            <w:r>
              <w:rPr>
                <w:rFonts w:ascii="宋体" w:hint="eastAsia"/>
                <w:sz w:val="16"/>
                <w:szCs w:val="16"/>
              </w:rPr>
              <w:t>本次研究、开发、测试计划书/ 项目书”</w:t>
            </w:r>
            <w:r>
              <w:rPr>
                <w:rFonts w:ascii="宋体"/>
                <w:sz w:val="16"/>
                <w:szCs w:val="16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</w:rPr>
              <w:t>网上上传</w:t>
            </w:r>
          </w:p>
        </w:tc>
      </w:tr>
      <w:tr>
        <w:trPr>
          <w:trHeight w:val="48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进口合同、发票或提单。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 w:hint="eastAsia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</w:rPr>
              <w:t>网上上传</w:t>
            </w:r>
          </w:p>
        </w:tc>
      </w:tr>
      <w:tr>
        <w:trPr>
          <w:trHeight w:val="40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CCC指定认证机构出具的CCC认证送样通知书（需要时上传）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cs="宋体" w:hint="eastAsia"/>
                <w:sz w:val="16"/>
                <w:szCs w:val="16"/>
                <w:vertAlign w:val="baseline"/>
              </w:rPr>
              <w:t>网上上传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网上申报: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 w:hint="eastAsia"/>
          <w:color w:val="000000"/>
          <w:sz w:val="18"/>
          <w:szCs w:val="18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CCC免办及特殊用途进口产品检测处理管理系统(</w:t>
      </w:r>
      <w:r>
        <w:rPr>
          <w:rFonts w:ascii="宋体" w:hint="eastAsia"/>
          <w:sz w:val="18"/>
          <w:szCs w:val="18"/>
        </w:rPr>
        <w:t>http://cccmb.cnca.cn/cccmb/foundation/identifyvalidator/LogonFlow.flow</w:t>
      </w: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八</w:t>
      </w:r>
      <w:r>
        <w:rPr>
          <w:rFonts w:ascii="宋体" w:eastAsia="宋体" w:cs="宋体" w:hint="eastAsia"/>
          <w:b/>
          <w:bCs/>
          <w:sz w:val="18"/>
          <w:szCs w:val="18"/>
        </w:rPr>
        <w:t>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ascii="宋体" w:cs="宋体" w:hint="eastAsia"/>
          <w:sz w:val="18"/>
          <w:szCs w:val="18"/>
        </w:rPr>
      </w:pPr>
      <w:r>
        <w:rPr>
          <w:rFonts w:ascii="宋体" w:cs="宋体" w:hint="eastAsia"/>
          <w:sz w:val="18"/>
          <w:szCs w:val="18"/>
          <w:lang w:eastAsia="zh-CN"/>
        </w:rPr>
        <w:t>（一）</w:t>
      </w:r>
      <w:r>
        <w:rPr>
          <w:rFonts w:ascii="宋体" w:eastAsia="宋体" w:cs="宋体" w:hint="eastAsia"/>
          <w:sz w:val="18"/>
          <w:szCs w:val="18"/>
        </w:rPr>
        <w:t>流程图</w:t>
      </w:r>
    </w:p>
    <w:p>
      <w:pPr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column">
                  <wp:posOffset>1029334</wp:posOffset>
                </wp:positionH>
                <wp:positionV relativeFrom="paragraph">
                  <wp:posOffset>207010</wp:posOffset>
                </wp:positionV>
                <wp:extent cx="817879" cy="239394"/>
                <wp:effectExtent l="0" t="0" r="0" b="0"/>
                <wp:wrapNone/>
                <wp:docPr id="1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7879" cy="23939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初审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3" o:spid="_x0000_s3" fillcolor="#FFFFFF" stroked="t" strokeweight="0.5pt" style="position:absolute;margin-left:81.04999pt;margin-top:16.30003pt;width:64.399956pt;height:18.849962pt;z-index:18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初审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1025524</wp:posOffset>
                </wp:positionH>
                <wp:positionV relativeFrom="paragraph">
                  <wp:posOffset>264171</wp:posOffset>
                </wp:positionV>
                <wp:extent cx="821690" cy="247014"/>
                <wp:effectExtent l="0" t="0" r="0" b="0"/>
                <wp:wrapNone/>
                <wp:docPr id="4" name="文本框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1690" cy="24701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复审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1 6" o:spid="_x0000_s6" fillcolor="#FFFFFF" stroked="t" strokeweight="0.5pt" style="position:absolute;margin-left:80.74998pt;margin-top:20.800877pt;width:64.70002pt;height:19.449991pt;z-index:16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1445894</wp:posOffset>
                </wp:positionH>
                <wp:positionV relativeFrom="paragraph">
                  <wp:posOffset>81926</wp:posOffset>
                </wp:positionV>
                <wp:extent cx="2540" cy="144144"/>
                <wp:effectExtent l="0" t="0" r="0" b="0"/>
                <wp:wrapNone/>
                <wp:docPr id="7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8634730" y="1130311"/>
                          <a:ext cx="2540" cy="14414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8" o:spid="_x0000_s8" filled="f" stroked="t" strokeweight="1.0pt" style="position:absolute;margin-left:113.84995pt;margin-top:6.450925pt;width:0.2000351pt;height:11.349986pt;flip:x;z-index:20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1028684</wp:posOffset>
                </wp:positionH>
                <wp:positionV relativeFrom="paragraph">
                  <wp:posOffset>280208</wp:posOffset>
                </wp:positionV>
                <wp:extent cx="821689" cy="247014"/>
                <wp:effectExtent l="0" t="0" r="0" b="0"/>
                <wp:wrapNone/>
                <wp:docPr id="9" name="文本框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1689" cy="24701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0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发证明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1 11" o:spid="_x0000_s11" fillcolor="#FFFFFF" stroked="t" strokeweight="0.5pt" style="position:absolute;margin-left:80.998764pt;margin-top:22.063622pt;width:64.699974pt;height:19.449991pt;z-index:22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发证明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column">
                  <wp:posOffset>1438254</wp:posOffset>
                </wp:positionH>
                <wp:positionV relativeFrom="paragraph">
                  <wp:posOffset>118282</wp:posOffset>
                </wp:positionV>
                <wp:extent cx="2540" cy="144144"/>
                <wp:effectExtent l="0" t="0" r="0" b="0"/>
                <wp:wrapNone/>
                <wp:docPr id="12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8627090" y="1562907"/>
                          <a:ext cx="2540" cy="14414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13" o:spid="_x0000_s13" filled="f" stroked="t" strokeweight="1.0pt" style="position:absolute;margin-left:113.24841pt;margin-top:9.313586pt;width:0.20004272pt;height:11.349986pt;flip:x;z-index:24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ind w:left="0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1</w:t>
      </w:r>
      <w:r>
        <w:rPr>
          <w:rFonts w:ascii="宋体" w:eastAsia="宋体" w:cs="宋体" w:hint="eastAsia"/>
          <w:sz w:val="18"/>
          <w:szCs w:val="18"/>
          <w:lang w:eastAsia="zh-CN"/>
        </w:rPr>
        <w:t>.</w:t>
      </w:r>
      <w:r>
        <w:rPr>
          <w:rFonts w:ascii="宋体" w:eastAsia="宋体" w:cs="宋体"/>
          <w:sz w:val="18"/>
          <w:szCs w:val="18"/>
          <w:lang w:eastAsia="zh-CN"/>
        </w:rPr>
        <w:t>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对申</w:t>
      </w:r>
      <w:r>
        <w:rPr>
          <w:rFonts w:ascii="宋体" w:eastAsia="宋体" w:cs="宋体"/>
          <w:sz w:val="18"/>
          <w:szCs w:val="18"/>
          <w:lang w:eastAsia="zh-CN"/>
        </w:rPr>
        <w:t>报</w:t>
      </w:r>
      <w:r>
        <w:rPr>
          <w:rFonts w:ascii="宋体" w:eastAsia="宋体" w:cs="宋体" w:hint="eastAsia"/>
          <w:sz w:val="18"/>
          <w:szCs w:val="18"/>
          <w:lang w:eastAsia="zh-CN"/>
        </w:rPr>
        <w:t>材料进行</w:t>
      </w:r>
      <w:r>
        <w:rPr>
          <w:rFonts w:ascii="宋体" w:eastAsia="宋体" w:cs="宋体"/>
          <w:sz w:val="18"/>
          <w:szCs w:val="18"/>
          <w:lang w:eastAsia="zh-CN"/>
        </w:rPr>
        <w:t>初审</w:t>
      </w:r>
      <w:r>
        <w:rPr>
          <w:rFonts w:ascii="宋体" w:eastAsia="宋体" w:cs="宋体" w:hint="eastAsia"/>
          <w:sz w:val="18"/>
          <w:szCs w:val="18"/>
          <w:lang w:eastAsia="zh-CN"/>
        </w:rPr>
        <w:t>，</w:t>
      </w:r>
      <w:r>
        <w:rPr>
          <w:rFonts w:ascii="宋体" w:eastAsia="宋体" w:cs="宋体"/>
          <w:sz w:val="18"/>
          <w:szCs w:val="18"/>
          <w:lang w:eastAsia="zh-CN"/>
        </w:rPr>
        <w:t>符合规定的提出初审意见；</w:t>
      </w:r>
      <w:r>
        <w:rPr>
          <w:rFonts w:ascii="宋体" w:eastAsia="宋体" w:cs="宋体" w:hint="eastAsia"/>
          <w:sz w:val="18"/>
          <w:szCs w:val="18"/>
          <w:lang w:eastAsia="zh-CN"/>
        </w:rPr>
        <w:t>不符合规定的，</w:t>
      </w:r>
      <w:r>
        <w:rPr>
          <w:rFonts w:ascii="宋体" w:eastAsia="宋体" w:cs="宋体"/>
          <w:sz w:val="18"/>
          <w:szCs w:val="18"/>
          <w:lang w:eastAsia="zh-CN"/>
        </w:rPr>
        <w:t>说明理由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2</w:t>
      </w:r>
      <w:r>
        <w:rPr>
          <w:rFonts w:ascii="宋体" w:eastAsia="宋体" w:cs="宋体" w:hint="eastAsia"/>
          <w:sz w:val="18"/>
          <w:szCs w:val="18"/>
          <w:lang w:eastAsia="zh-CN"/>
        </w:rPr>
        <w:t>.</w:t>
      </w:r>
      <w:r>
        <w:rPr>
          <w:rFonts w:ascii="宋体" w:eastAsia="宋体" w:cs="宋体"/>
          <w:sz w:val="18"/>
          <w:szCs w:val="18"/>
          <w:lang w:eastAsia="zh-CN"/>
        </w:rPr>
        <w:t>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对</w:t>
      </w:r>
      <w:r>
        <w:rPr>
          <w:rFonts w:ascii="宋体" w:eastAsia="宋体" w:cs="宋体" w:hint="eastAsia"/>
          <w:sz w:val="18"/>
          <w:szCs w:val="18"/>
          <w:lang w:eastAsia="zh-CN"/>
        </w:rPr>
        <w:t>申报材料进行</w:t>
      </w:r>
      <w:r>
        <w:rPr>
          <w:rFonts w:ascii="宋体" w:eastAsia="宋体" w:cs="宋体"/>
          <w:sz w:val="18"/>
          <w:szCs w:val="18"/>
          <w:lang w:eastAsia="zh-CN"/>
        </w:rPr>
        <w:t>复审</w:t>
      </w:r>
      <w:r>
        <w:rPr>
          <w:rFonts w:ascii="宋体" w:eastAsia="宋体" w:cs="宋体" w:hint="eastAsia"/>
          <w:sz w:val="18"/>
          <w:szCs w:val="18"/>
          <w:lang w:eastAsia="zh-CN"/>
        </w:rPr>
        <w:t>，履行</w:t>
      </w:r>
      <w:r>
        <w:rPr>
          <w:rFonts w:ascii="宋体" w:eastAsia="宋体" w:cs="宋体"/>
          <w:sz w:val="18"/>
          <w:szCs w:val="18"/>
          <w:lang w:eastAsia="zh-CN"/>
        </w:rPr>
        <w:t>复审</w:t>
      </w:r>
      <w:r>
        <w:rPr>
          <w:rFonts w:ascii="宋体" w:eastAsia="宋体" w:cs="宋体" w:hint="eastAsia"/>
          <w:sz w:val="18"/>
          <w:szCs w:val="18"/>
          <w:lang w:eastAsia="zh-CN"/>
        </w:rPr>
        <w:t>程序</w:t>
      </w:r>
      <w:r>
        <w:rPr>
          <w:rFonts w:ascii="宋体" w:eastAsia="宋体" w:cs="宋体"/>
          <w:sz w:val="18"/>
          <w:szCs w:val="18"/>
          <w:lang w:eastAsia="zh-CN"/>
        </w:rPr>
        <w:t>，</w:t>
      </w:r>
      <w:r>
        <w:rPr>
          <w:rFonts w:ascii="宋体" w:eastAsia="宋体" w:cs="宋体" w:hint="eastAsia"/>
          <w:sz w:val="18"/>
          <w:szCs w:val="18"/>
          <w:lang w:eastAsia="zh-CN"/>
        </w:rPr>
        <w:t>符合条件的，提出</w:t>
      </w:r>
      <w:r>
        <w:rPr>
          <w:rFonts w:ascii="宋体" w:eastAsia="宋体" w:cs="宋体"/>
          <w:sz w:val="18"/>
          <w:szCs w:val="18"/>
          <w:lang w:eastAsia="zh-CN"/>
        </w:rPr>
        <w:t>复审</w:t>
      </w:r>
      <w:r>
        <w:rPr>
          <w:rFonts w:ascii="宋体" w:eastAsia="宋体" w:cs="宋体" w:hint="eastAsia"/>
          <w:sz w:val="18"/>
          <w:szCs w:val="18"/>
          <w:lang w:eastAsia="zh-CN"/>
        </w:rPr>
        <w:t>意见</w:t>
      </w:r>
      <w:r>
        <w:rPr>
          <w:rFonts w:ascii="宋体" w:eastAsia="宋体" w:cs="宋体"/>
          <w:sz w:val="18"/>
          <w:szCs w:val="18"/>
          <w:lang w:eastAsia="zh-CN"/>
        </w:rPr>
        <w:t>；</w:t>
      </w:r>
      <w:r>
        <w:rPr>
          <w:rFonts w:ascii="宋体" w:eastAsia="宋体" w:cs="宋体" w:hint="eastAsia"/>
          <w:sz w:val="18"/>
          <w:szCs w:val="18"/>
          <w:lang w:eastAsia="zh-CN"/>
        </w:rPr>
        <w:t>不符合条件的，说明理由。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3.发证明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根据</w:t>
      </w:r>
      <w:r>
        <w:rPr>
          <w:rFonts w:ascii="宋体" w:eastAsia="宋体" w:cs="宋体"/>
          <w:sz w:val="18"/>
          <w:szCs w:val="18"/>
          <w:lang w:eastAsia="zh-CN"/>
        </w:rPr>
        <w:t>复审结果</w:t>
      </w:r>
      <w:r>
        <w:rPr>
          <w:rFonts w:ascii="宋体" w:eastAsia="宋体" w:cs="宋体" w:hint="eastAsia"/>
          <w:sz w:val="18"/>
          <w:szCs w:val="18"/>
          <w:lang w:eastAsia="zh-CN"/>
        </w:rPr>
        <w:t>，出具相应的办理结果。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eastAsia="宋体" w:cs="宋体"/>
          <w:sz w:val="18"/>
          <w:szCs w:val="18"/>
          <w:lang w:val="en-US" w:eastAsia="zh-CN"/>
        </w:rPr>
        <w:t>5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/>
          <w:sz w:val="18"/>
          <w:szCs w:val="18"/>
        </w:rPr>
        <w:t>5</w:t>
      </w:r>
      <w:r>
        <w:rPr>
          <w:rFonts w:ascii="宋体" w:hint="eastAsia"/>
          <w:sz w:val="18"/>
          <w:szCs w:val="1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网上</w:t>
      </w:r>
      <w:r>
        <w:rPr>
          <w:rFonts w:ascii="宋体" w:eastAsia="宋体" w:cs="宋体" w:hint="eastAsia"/>
          <w:sz w:val="18"/>
          <w:szCs w:val="18"/>
          <w:lang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/>
          <w:sz w:val="18"/>
          <w:szCs w:val="1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</w:rPr>
        <w:t>秦皇岛市海港区民族里6号秦皇岛市政务服务大厅3楼窗口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bookmarkStart w:id="0" w:name="_GoBack"/>
      <w:bookmarkEnd w:id="0"/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反应窗口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ascii="宋体" w:eastAsia="宋体" w:cs="宋体" w:hint="eastAsia"/>
          <w:sz w:val="18"/>
          <w:szCs w:val="18"/>
          <w:lang w:eastAsia="zh-CN"/>
        </w:rPr>
        <w:t>(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ascii="宋体" w:eastAsia="宋体" w:cs="宋体" w:hint="eastAsia"/>
          <w:sz w:val="18"/>
          <w:szCs w:val="18"/>
          <w:lang w:eastAsia="zh-CN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时间:星期一至星期五:秋冬春季(9月1日~5月31日)上午8:30~12:00，下午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 w:hint="eastAsia"/>
          <w:color w:val="000000"/>
          <w:sz w:val="18"/>
          <w:szCs w:val="18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CCC免办及特殊用途进口产品检测处理管理系统(</w:t>
      </w:r>
      <w:r>
        <w:rPr>
          <w:rFonts w:ascii="宋体" w:hint="eastAsia"/>
          <w:sz w:val="18"/>
          <w:szCs w:val="18"/>
        </w:rPr>
        <w:t>http://cccmb.cnca.cn/cccmb/foundation/identifyvalidator/LogonFlow.flow</w:t>
      </w: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 w:hint="eastAsia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  <w:bCs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277</TotalTime>
  <Application>Yozo_Office27021597764231179</Application>
  <Pages>2</Pages>
  <Words>1029</Words>
  <Characters>1423</Characters>
  <Lines>155</Lines>
  <Paragraphs>100</Paragraphs>
  <CharactersWithSpaces>1452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2023-10-11T06:55:00Z</cp:lastPrinted>
  <dcterms:created xsi:type="dcterms:W3CDTF">2023-09-06T02:23:00Z</dcterms:created>
  <dcterms:modified xsi:type="dcterms:W3CDTF">2024-04-07T03:29:56Z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9138A84FD69C47BBAECAE982F1E1A7DD_13</vt:lpwstr>
  </property>
</Properties>
</file>