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  <w:r>
        <w:rPr>
          <w:rFonts w:ascii="宋体"/>
          <w:sz w:val="28"/>
          <w:szCs w:val="28"/>
        </w:rPr>
        <w:t>重要工业产品生产许可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eastAsia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一</w:t>
      </w:r>
      <w:r>
        <w:rPr>
          <w:rFonts w:ascii="宋体" w:eastAsia="宋体" w:cs="宋体" w:hint="eastAsia"/>
          <w:b/>
          <w:bCs/>
          <w:sz w:val="18"/>
          <w:szCs w:val="18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二、</w:t>
      </w:r>
      <w:r>
        <w:rPr>
          <w:rFonts w:ascii="宋体" w:eastAsia="宋体" w:cs="宋体" w:hint="eastAsia"/>
          <w:b/>
          <w:bCs/>
          <w:sz w:val="18"/>
          <w:szCs w:val="18"/>
        </w:rPr>
        <w:t>事项类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三</w:t>
      </w:r>
      <w:r>
        <w:rPr>
          <w:rFonts w:ascii="宋体" w:eastAsia="宋体" w:cs="宋体" w:hint="eastAsia"/>
          <w:b/>
          <w:bCs/>
          <w:sz w:val="18"/>
          <w:szCs w:val="18"/>
        </w:rPr>
        <w:t>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>《中华人民共和国工业产品生产许可证管理条例》第二条、</w:t>
      </w:r>
      <w:r>
        <w:rPr>
          <w:rFonts w:ascii="宋体"/>
          <w:sz w:val="18"/>
          <w:szCs w:val="18"/>
        </w:rPr>
        <w:t>三</w:t>
      </w:r>
      <w:r>
        <w:rPr>
          <w:rFonts w:ascii="宋体" w:hint="eastAsia"/>
          <w:sz w:val="18"/>
          <w:szCs w:val="18"/>
        </w:rPr>
        <w:t>条、</w:t>
      </w:r>
      <w:r>
        <w:rPr>
          <w:rFonts w:ascii="宋体"/>
          <w:sz w:val="18"/>
          <w:szCs w:val="18"/>
        </w:rPr>
        <w:t>六十八</w:t>
      </w:r>
      <w:r>
        <w:rPr>
          <w:rFonts w:ascii="宋体" w:hint="eastAsia"/>
          <w:sz w:val="18"/>
          <w:szCs w:val="18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《中华人民共和国行政许可法》第十二条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int="eastAsia"/>
          <w:sz w:val="18"/>
          <w:szCs w:val="18"/>
        </w:rPr>
      </w:pPr>
      <w:r>
        <w:rPr>
          <w:sz w:val="18"/>
          <w:szCs w:val="18"/>
        </w:rPr>
        <w:t>《中华人民共和国食品安全法》第四十一条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四、</w:t>
      </w:r>
      <w:r>
        <w:rPr>
          <w:rFonts w:ascii="宋体" w:eastAsia="宋体" w:cs="宋体" w:hint="eastAsia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 w:val="0"/>
          <w:bCs w:val="0"/>
          <w:color w:val="000000"/>
          <w:sz w:val="18"/>
          <w:szCs w:val="18"/>
        </w:rPr>
      </w:pPr>
      <w:r>
        <w:rPr>
          <w:rFonts w:ascii="宋体" w:eastAsia="宋体" w:cs="宋体"/>
          <w:b w:val="0"/>
          <w:bCs w:val="0"/>
          <w:color w:val="000000"/>
          <w:sz w:val="18"/>
          <w:szCs w:val="18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五</w:t>
      </w:r>
      <w:r>
        <w:rPr>
          <w:rFonts w:ascii="宋体" w:eastAsia="宋体" w:cs="宋体" w:hint="eastAsia"/>
          <w:b/>
          <w:bCs/>
          <w:sz w:val="18"/>
          <w:szCs w:val="18"/>
        </w:rPr>
        <w:t>、办理条件</w:t>
      </w:r>
    </w:p>
    <w:p>
      <w:pPr>
        <w:ind w:left="0"/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1、有营业执照；</w:t>
      </w:r>
    </w:p>
    <w:p>
      <w:pPr>
        <w:ind w:left="0"/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2、有与所生产产品相适应的专业技术人员；</w:t>
      </w:r>
    </w:p>
    <w:p>
      <w:pPr>
        <w:ind w:left="0"/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3、有与所生产产品相适应的生产条件和检验检疫手段；</w:t>
      </w:r>
    </w:p>
    <w:p>
      <w:pPr>
        <w:ind w:left="0"/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4、有与所生产产品相适应的技术文件和工艺文件；</w:t>
      </w:r>
    </w:p>
    <w:p>
      <w:pPr>
        <w:ind w:left="0"/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5、有健全有效的质量管理制度和责任制度；</w:t>
      </w:r>
    </w:p>
    <w:p>
      <w:pPr>
        <w:ind w:left="0"/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6、产品符合有关国家标准、行业标准以及保障人体健康和人身、财产安全的要求；</w:t>
      </w:r>
    </w:p>
    <w:p>
      <w:pPr>
        <w:rPr>
          <w:rFonts w:ascii="宋体" w:hint="eastAsia"/>
          <w:sz w:val="18"/>
          <w:szCs w:val="18"/>
        </w:rPr>
      </w:pPr>
      <w:r>
        <w:rPr>
          <w:rFonts w:ascii="宋体" w:hint="eastAsia"/>
          <w:sz w:val="18"/>
          <w:szCs w:val="18"/>
        </w:rPr>
        <w:t>7、符合国家产业政策的规定，不存在国家明令淘汰和禁止投资建设的落后工艺、高耗能、污染环境、浪费资源的情况。法律、行政法规有其他规定的，还应当符合其规定。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六、申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请</w:t>
      </w:r>
      <w:r>
        <w:rPr>
          <w:rFonts w:ascii="宋体" w:eastAsia="宋体" w:cs="宋体" w:hint="eastAsia"/>
          <w:b/>
          <w:bCs/>
          <w:sz w:val="18"/>
          <w:szCs w:val="18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/>
          <w:sz w:val="18"/>
          <w:szCs w:val="18"/>
        </w:rPr>
        <w:t>重要工业产品生产许可</w:t>
      </w:r>
      <w:r>
        <w:rPr>
          <w:rFonts w:ascii="宋体" w:eastAsia="宋体" w:cs="宋体" w:hint="eastAsia"/>
          <w:sz w:val="18"/>
          <w:szCs w:val="18"/>
        </w:rPr>
        <w:t>审批</w:t>
      </w:r>
      <w:r>
        <w:rPr>
          <w:rFonts w:ascii="宋体" w:eastAsia="宋体" w:cs="宋体" w:hint="eastAsia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</w:rPr>
        <w:t>申请人需提交下列材料</w:t>
      </w:r>
      <w:r>
        <w:rPr>
          <w:rFonts w:ascii="宋体" w:eastAsia="宋体" w:cs="宋体" w:hint="eastAsia"/>
          <w:sz w:val="18"/>
          <w:szCs w:val="18"/>
          <w:lang w:eastAsia="zh-CN"/>
        </w:rPr>
        <w:t>：</w:t>
      </w:r>
    </w:p>
    <w:tbl>
      <w:tblPr>
        <w:tblpPr w:leftFromText="180" w:rightFromText="180" w:vertAnchor="text" w:horzAnchor="page" w:tblpX="6156" w:tblpY="63"/>
        <w:tblOverlap w:val="never"/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87"/>
        <w:gridCol w:w="540"/>
        <w:gridCol w:w="700"/>
        <w:gridCol w:w="683"/>
        <w:gridCol w:w="1377"/>
      </w:tblGrid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提交材料名称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原件份数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复印件份数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材料来源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</w:rPr>
              <w:t>特定要求</w:t>
            </w:r>
          </w:p>
        </w:tc>
      </w:tr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lang w:eastAsia="zh-CN"/>
              </w:rPr>
            </w:pPr>
            <w:r>
              <w:rPr>
                <w:rFonts w:ascii="宋体" w:hint="eastAsia"/>
                <w:sz w:val="16"/>
                <w:szCs w:val="16"/>
                <w:lang w:eastAsia="zh-CN"/>
              </w:rPr>
              <w:t>全国工业产品生产许可证申请单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  <w:t>网上上传</w:t>
            </w:r>
          </w:p>
        </w:tc>
      </w:tr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营业执照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</w:t>
            </w:r>
          </w:p>
        </w:tc>
      </w:tr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  <w:lang w:eastAsia="zh-CN"/>
              </w:rPr>
              <w:t>产品检验报告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网上上传(材料要求:详见工业产品生产许可实施通则和细则)</w:t>
            </w:r>
          </w:p>
        </w:tc>
      </w:tr>
      <w:tr>
        <w:trPr>
          <w:trHeight w:val="116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</w:rPr>
              <w:t>产业政策文件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网上上传(材料要求:详见工业产品生产许可实施通则和细则)</w:t>
            </w:r>
          </w:p>
        </w:tc>
      </w:tr>
      <w:tr>
        <w:trPr>
          <w:trHeight w:val="2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</w:rPr>
              <w:t>承诺书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 w:hint="eastAsia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网上上传(材料要求:详见工业产品生产许可实施通则和细则)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七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</w:t>
      </w:r>
      <w:r>
        <w:rPr>
          <w:rFonts w:ascii="宋体" w:eastAsia="宋体" w:cs="宋体" w:hint="eastAsia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网上申报: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河北省市场监督管理局网上办事平台(</w:t>
      </w:r>
      <w:r>
        <w:rPr>
          <w:rFonts w:ascii="宋体" w:hint="eastAsia"/>
          <w:color w:val="000000"/>
          <w:sz w:val="18"/>
          <w:szCs w:val="18"/>
          <w:shd w:val="solid" w:color="FFFFFF" w:fill="FFFFFF"/>
        </w:rPr>
        <w:t>http://s.hebamr.cn/bsdt</w:t>
      </w: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)进行网上申报。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eastAsia="宋体" w:cs="宋体" w:hint="eastAsia"/>
          <w:b/>
          <w:bCs/>
          <w:sz w:val="18"/>
          <w:szCs w:val="18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八</w:t>
      </w:r>
      <w:r>
        <w:rPr>
          <w:rFonts w:ascii="宋体" w:eastAsia="宋体" w:cs="宋体" w:hint="eastAsia"/>
          <w:b/>
          <w:bCs/>
          <w:sz w:val="18"/>
          <w:szCs w:val="18"/>
        </w:rPr>
        <w:t>、办理流程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adjustRightInd/>
        <w:snapToGrid/>
        <w:spacing w:line="240" w:lineRule="exact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流程图</w:t>
      </w:r>
    </w:p>
    <w:p>
      <w:pPr>
        <w:rPr>
          <w:rFonts w:ascii="仿宋_GB2312" w:eastAsia="仿宋_GB2312" w:cs="仿宋_GB231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38" behindDoc="0" locked="0" layoutInCell="1" hidden="0" allowOverlap="1">
                <wp:simplePos x="0" y="0"/>
                <wp:positionH relativeFrom="column">
                  <wp:posOffset>1438253</wp:posOffset>
                </wp:positionH>
                <wp:positionV relativeFrom="paragraph">
                  <wp:posOffset>364936</wp:posOffset>
                </wp:positionV>
                <wp:extent cx="4445" cy="126365"/>
                <wp:effectExtent l="0" t="0" r="0" b="0"/>
                <wp:wrapNone/>
                <wp:docPr id="1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5212693" y="5256976"/>
                          <a:ext cx="4445" cy="12636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2" o:spid="_x0000_s2" filled="f" stroked="t" strokeweight="1.0pt" style="position:absolute;margin-left:113.248276pt;margin-top:28.735128pt;width:0.34999847pt;height:9.950075pt;z-index:38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  <w:r>
        <w:rPr>
          <w:rFonts w:ascii="仿宋_GB2312" w:eastAsia="仿宋_GB2312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298" distR="114298" simplePos="0" relativeHeight="36" behindDoc="0" locked="0" layoutInCell="1" hidden="0" allowOverlap="1">
                <wp:simplePos x="0" y="0"/>
                <wp:positionH relativeFrom="column">
                  <wp:posOffset>683192</wp:posOffset>
                </wp:positionH>
                <wp:positionV relativeFrom="paragraph">
                  <wp:posOffset>89458</wp:posOffset>
                </wp:positionV>
                <wp:extent cx="1581125" cy="247646"/>
                <wp:effectExtent l="0" t="0" r="0" b="0"/>
                <wp:wrapNone/>
                <wp:docPr id="3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81125" cy="247646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4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5" o:spid="_x0000_s5" fillcolor="#FFFFFF" stroked="t" strokeweight="0.5pt" style="position:absolute;margin-left:53.79465pt;margin-top:7.044006pt;width:124.4981pt;height:19.499702pt;z-index:36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 w:cs="仿宋_GB2312" w:hint="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34" behindDoc="0" locked="0" layoutInCell="1" hidden="0" allowOverlap="1">
                <wp:simplePos x="0" y="0"/>
                <wp:positionH relativeFrom="column">
                  <wp:posOffset>1428728</wp:posOffset>
                </wp:positionH>
                <wp:positionV relativeFrom="paragraph">
                  <wp:posOffset>333415</wp:posOffset>
                </wp:positionV>
                <wp:extent cx="4445" cy="126365"/>
                <wp:effectExtent l="0" t="0" r="0" b="0"/>
                <wp:wrapNone/>
                <wp:docPr id="6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5203168" y="5621696"/>
                          <a:ext cx="4445" cy="12636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7" o:spid="_x0000_s7" filled="f" stroked="t" strokeweight="1.0pt" style="position:absolute;margin-left:112.49828pt;margin-top:26.253216pt;width:0.3500061pt;height:9.950073pt;z-index:34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28" behindDoc="0" locked="0" layoutInCell="1" hidden="0" allowOverlap="1">
                <wp:simplePos x="0" y="0"/>
                <wp:positionH relativeFrom="column">
                  <wp:posOffset>664142</wp:posOffset>
                </wp:positionH>
                <wp:positionV relativeFrom="paragraph">
                  <wp:posOffset>102236</wp:posOffset>
                </wp:positionV>
                <wp:extent cx="1609700" cy="239395"/>
                <wp:effectExtent l="0" t="0" r="0" b="0"/>
                <wp:wrapNone/>
                <wp:docPr id="8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9700" cy="23939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9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受理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10" o:spid="_x0000_s10" fillcolor="#FFFFFF" stroked="t" strokeweight="0.5pt" style="position:absolute;margin-left:52.294674pt;margin-top:8.050155pt;width:126.74807pt;height:18.850006pt;z-index:28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受理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30" behindDoc="0" locked="0" layoutInCell="1" hidden="0" allowOverlap="1">
                <wp:simplePos x="0" y="0"/>
                <wp:positionH relativeFrom="column">
                  <wp:posOffset>1443989</wp:posOffset>
                </wp:positionH>
                <wp:positionV relativeFrom="paragraph">
                  <wp:posOffset>309247</wp:posOffset>
                </wp:positionV>
                <wp:extent cx="4445" cy="126365"/>
                <wp:effectExtent l="0" t="0" r="0" b="0"/>
                <wp:wrapNone/>
                <wp:docPr id="11" name="直接箭头连接符 1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5218430" y="5993767"/>
                          <a:ext cx="4445" cy="12636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4 12" o:spid="_x0000_s12" filled="f" stroked="t" strokeweight="1.0pt" style="position:absolute;margin-left:113.69999pt;margin-top:24.350185pt;width:0.34999847pt;height:9.950027pt;z-index:30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22" behindDoc="0" locked="0" layoutInCell="1" hidden="0" allowOverlap="1">
                <wp:simplePos x="0" y="0"/>
                <wp:positionH relativeFrom="column">
                  <wp:posOffset>664142</wp:posOffset>
                </wp:positionH>
                <wp:positionV relativeFrom="paragraph">
                  <wp:posOffset>68491</wp:posOffset>
                </wp:positionV>
                <wp:extent cx="1609700" cy="266695"/>
                <wp:effectExtent l="0" t="0" r="0" b="0"/>
                <wp:wrapNone/>
                <wp:docPr id="13" name="文本框 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9700" cy="26669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4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8 15" o:spid="_x0000_s15" fillcolor="#FFFFFF" stroked="t" strokeweight="0.5pt" style="position:absolute;margin-left:52.294697pt;margin-top:5.3930607pt;width:126.74805pt;height:20.99968pt;z-index:22;mso-position-horizontal:absolute;mso-position-vertical:absolute;mso-wrap-distance-left:8.999863pt;mso-wrap-distance-right:8.999863pt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298" distR="114298" simplePos="0" relativeHeight="26" behindDoc="0" locked="0" layoutInCell="1" hidden="0" allowOverlap="1">
                <wp:simplePos x="0" y="0"/>
                <wp:positionH relativeFrom="column">
                  <wp:posOffset>664142</wp:posOffset>
                </wp:positionH>
                <wp:positionV relativeFrom="paragraph">
                  <wp:posOffset>391798</wp:posOffset>
                </wp:positionV>
                <wp:extent cx="1638275" cy="471060"/>
                <wp:effectExtent l="0" t="0" r="0" b="0"/>
                <wp:wrapNone/>
                <wp:docPr id="16" name="文本框 1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38275" cy="47106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17"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zh-CN"/>
                              </w:rPr>
                              <w:t>后置现场审查(后置审查业务)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zh-CN"/>
                              </w:rPr>
                              <w:t>全覆盖例行检查(告知承诺业务)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11 18" o:spid="_x0000_s18" fillcolor="#FFFFFF" stroked="t" strokeweight="0.5pt" style="position:absolute;margin-left:52.294674pt;margin-top:30.850239pt;width:128.99803pt;height:37.091385pt;z-index:26;mso-position-horizontal:absolute;mso-position-vertical:absolute;mso-wrap-distance-left:8.999863pt;mso-wrap-distance-right:8.999863pt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lang w:eastAsia="zh-CN"/>
                        </w:rPr>
                        <w:t>后置现场审查(后置审查业务)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lang w:eastAsia="zh-CN"/>
                        </w:rPr>
                        <w:t>全覆盖例行检查(告知承诺业务)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32" behindDoc="0" locked="0" layoutInCell="1" hidden="0" allowOverlap="1">
                <wp:simplePos x="0" y="0"/>
                <wp:positionH relativeFrom="column">
                  <wp:posOffset>1455419</wp:posOffset>
                </wp:positionH>
                <wp:positionV relativeFrom="paragraph">
                  <wp:posOffset>257178</wp:posOffset>
                </wp:positionV>
                <wp:extent cx="2540" cy="144144"/>
                <wp:effectExtent l="0" t="0" r="0" b="0"/>
                <wp:wrapNone/>
                <wp:docPr id="19" name="直接箭头连接符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5229859" y="6337939"/>
                          <a:ext cx="2540" cy="144144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5 20" o:spid="_x0000_s20" filled="f" stroked="t" strokeweight="1.0pt" style="position:absolute;margin-left:114.59994pt;margin-top:20.25024pt;width:0.20004272pt;height:11.349987pt;flip:x;z-index:32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24" behindDoc="0" locked="0" layoutInCell="1" hidden="0" allowOverlap="1">
                <wp:simplePos x="0" y="0"/>
                <wp:positionH relativeFrom="column">
                  <wp:posOffset>664142</wp:posOffset>
                </wp:positionH>
                <wp:positionV relativeFrom="paragraph">
                  <wp:posOffset>29847</wp:posOffset>
                </wp:positionV>
                <wp:extent cx="1619225" cy="242469"/>
                <wp:effectExtent l="0" t="0" r="0" b="0"/>
                <wp:wrapNone/>
                <wp:docPr id="21" name="文本框 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25" cy="242469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2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9 23" o:spid="_x0000_s23" fillcolor="#FFFFFF" stroked="t" strokeweight="0.5pt" style="position:absolute;margin-left:52.294697pt;margin-top:2.3502145pt;width:127.49804pt;height:19.092117pt;z-index:24;mso-position-horizontal:absolute;mso-position-vertical:absolute;mso-wrap-distance-left:8.999863pt;mso-wrap-distance-right:8.999863pt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298" distR="114298" simplePos="0" relativeHeight="40" behindDoc="0" locked="0" layoutInCell="1" hidden="0" allowOverlap="1">
                <wp:simplePos x="0" y="0"/>
                <wp:positionH relativeFrom="column">
                  <wp:posOffset>676264</wp:posOffset>
                </wp:positionH>
                <wp:positionV relativeFrom="paragraph">
                  <wp:posOffset>249713</wp:posOffset>
                </wp:positionV>
                <wp:extent cx="1638275" cy="239395"/>
                <wp:effectExtent l="0" t="0" r="0" b="0"/>
                <wp:wrapNone/>
                <wp:docPr id="24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38275" cy="239395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 id="25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办结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4 26" o:spid="_x0000_s26" fillcolor="#FFFFFF" stroked="t" strokeweight="0.5pt" style="position:absolute;margin-left:53.249187pt;margin-top:19.662481pt;width:128.99803pt;height:18.850008pt;z-index:40;mso-position-horizontal:absolute;mso-position-vertical:absolute;mso-wrap-distance-left:8.999863pt;mso-wrap-distance-right:8.999863pt;mso-wrap-style:square;">
                <v:stroke color="#000000"/>
                <v:textbox id="853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办结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298" distR="114298" simplePos="0" relativeHeight="42" behindDoc="0" locked="0" layoutInCell="1" hidden="0" allowOverlap="1">
                <wp:simplePos x="0" y="0"/>
                <wp:positionH relativeFrom="column">
                  <wp:posOffset>1500429</wp:posOffset>
                </wp:positionH>
                <wp:positionV relativeFrom="paragraph">
                  <wp:posOffset>106672</wp:posOffset>
                </wp:positionV>
                <wp:extent cx="2540" cy="144144"/>
                <wp:effectExtent l="0" t="0" r="0" b="0"/>
                <wp:wrapNone/>
                <wp:docPr id="27" name="直接箭头连接符 1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5274870" y="6979913"/>
                          <a:ext cx="2540" cy="144144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接箭头连接符 15 28" o:spid="_x0000_s28" filled="f" stroked="t" strokeweight="1.0pt" style="position:absolute;margin-left:118.14407pt;margin-top:8.399424pt;width:0.20004272pt;height:11.349985pt;flip:x;z-index:42;mso-position-horizontal:absolute;mso-position-vertical:absolute;mso-wrap-distance-left:8.999863pt;mso-wrap-distance-right:8.999863pt;">
                <v:stroke color="#4874CB" endarrow="open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val="en-US"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1</w:t>
      </w:r>
      <w:r>
        <w:rPr>
          <w:rFonts w:ascii="宋体" w:eastAsia="宋体" w:cs="宋体" w:hint="eastAsia"/>
          <w:sz w:val="18"/>
          <w:szCs w:val="18"/>
          <w:lang w:eastAsia="zh-CN"/>
        </w:rPr>
        <w:t>.受理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对申请材料进行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ascii="宋体" w:eastAsia="宋体" w:cs="宋体" w:hint="eastAsia"/>
          <w:sz w:val="18"/>
          <w:szCs w:val="18"/>
          <w:lang w:eastAsia="zh-CN"/>
        </w:rPr>
        <w:t>，</w:t>
      </w:r>
      <w:r>
        <w:rPr>
          <w:rFonts w:ascii="宋体" w:eastAsia="宋体" w:cs="宋体"/>
          <w:sz w:val="18"/>
          <w:szCs w:val="18"/>
          <w:lang w:eastAsia="zh-CN"/>
        </w:rPr>
        <w:t>符合规定向申报单位出具受理通知书；</w:t>
      </w:r>
      <w:r>
        <w:rPr>
          <w:rFonts w:ascii="宋体" w:eastAsia="宋体" w:cs="宋体" w:hint="eastAsia"/>
          <w:sz w:val="18"/>
          <w:szCs w:val="18"/>
          <w:lang w:eastAsia="zh-CN"/>
        </w:rPr>
        <w:t>不符合规定的，向申请单位出具不予受理通知书。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2</w:t>
      </w:r>
      <w:r>
        <w:rPr>
          <w:rFonts w:ascii="宋体" w:eastAsia="宋体" w:cs="宋体" w:hint="eastAsia"/>
          <w:sz w:val="18"/>
          <w:szCs w:val="18"/>
          <w:lang w:eastAsia="zh-CN"/>
        </w:rPr>
        <w:t>.审查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对</w:t>
      </w:r>
      <w:r>
        <w:rPr>
          <w:rFonts w:ascii="宋体" w:eastAsia="宋体" w:cs="宋体" w:hint="eastAsia"/>
          <w:sz w:val="18"/>
          <w:szCs w:val="18"/>
          <w:lang w:eastAsia="zh-CN"/>
        </w:rPr>
        <w:t>申报材料进行审查，履行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ascii="宋体" w:eastAsia="宋体" w:cs="宋体" w:hint="eastAsia"/>
          <w:sz w:val="18"/>
          <w:szCs w:val="18"/>
          <w:lang w:eastAsia="zh-CN"/>
        </w:rPr>
        <w:t>程序</w:t>
      </w:r>
      <w:r>
        <w:rPr>
          <w:rFonts w:ascii="宋体" w:eastAsia="宋体" w:cs="宋体"/>
          <w:sz w:val="18"/>
          <w:szCs w:val="18"/>
          <w:lang w:eastAsia="zh-CN"/>
        </w:rPr>
        <w:t>，</w:t>
      </w:r>
      <w:r>
        <w:rPr>
          <w:rFonts w:ascii="宋体" w:eastAsia="宋体" w:cs="宋体" w:hint="eastAsia"/>
          <w:sz w:val="18"/>
          <w:szCs w:val="18"/>
          <w:lang w:eastAsia="zh-CN"/>
        </w:rPr>
        <w:t>符合条件的，提出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ascii="宋体" w:eastAsia="宋体" w:cs="宋体" w:hint="eastAsia"/>
          <w:sz w:val="18"/>
          <w:szCs w:val="18"/>
          <w:lang w:eastAsia="zh-CN"/>
        </w:rPr>
        <w:t>意见</w:t>
      </w:r>
      <w:r>
        <w:rPr>
          <w:rFonts w:ascii="宋体" w:eastAsia="宋体" w:cs="宋体"/>
          <w:sz w:val="18"/>
          <w:szCs w:val="18"/>
          <w:lang w:eastAsia="zh-CN"/>
        </w:rPr>
        <w:t>；</w:t>
      </w:r>
      <w:r>
        <w:rPr>
          <w:rFonts w:ascii="宋体" w:eastAsia="宋体" w:cs="宋体" w:hint="eastAsia"/>
          <w:sz w:val="18"/>
          <w:szCs w:val="18"/>
          <w:lang w:eastAsia="zh-CN"/>
        </w:rPr>
        <w:t>不符合条件的，草拟</w:t>
      </w:r>
      <w:r>
        <w:rPr>
          <w:rFonts w:ascii="宋体" w:eastAsia="宋体" w:cs="宋体"/>
          <w:sz w:val="18"/>
          <w:szCs w:val="18"/>
          <w:lang w:eastAsia="zh-CN"/>
        </w:rPr>
        <w:t>不予行政许可通知书</w:t>
      </w:r>
      <w:r>
        <w:rPr>
          <w:rFonts w:ascii="宋体" w:eastAsia="宋体" w:cs="宋体" w:hint="eastAsia"/>
          <w:sz w:val="18"/>
          <w:szCs w:val="18"/>
          <w:lang w:eastAsia="zh-CN"/>
        </w:rPr>
        <w:t>，并说明理由。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3</w:t>
      </w:r>
      <w:r>
        <w:rPr>
          <w:rFonts w:ascii="宋体" w:eastAsia="宋体" w:cs="宋体" w:hint="eastAsia"/>
          <w:sz w:val="18"/>
          <w:szCs w:val="18"/>
          <w:lang w:eastAsia="zh-CN"/>
        </w:rPr>
        <w:t>.审批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依据审查</w:t>
      </w:r>
      <w:r>
        <w:rPr>
          <w:rFonts w:ascii="宋体" w:eastAsia="宋体" w:cs="宋体"/>
          <w:sz w:val="18"/>
          <w:szCs w:val="18"/>
          <w:lang w:eastAsia="zh-CN"/>
        </w:rPr>
        <w:t>及现场评审</w:t>
      </w:r>
      <w:r>
        <w:rPr>
          <w:rFonts w:ascii="宋体" w:eastAsia="宋体" w:cs="宋体" w:hint="eastAsia"/>
          <w:sz w:val="18"/>
          <w:szCs w:val="18"/>
          <w:lang w:eastAsia="zh-CN"/>
        </w:rPr>
        <w:t>意见，</w:t>
      </w:r>
      <w:r>
        <w:rPr>
          <w:rFonts w:ascii="宋体" w:eastAsia="宋体" w:cs="宋体"/>
          <w:sz w:val="18"/>
          <w:szCs w:val="18"/>
          <w:lang w:eastAsia="zh-CN"/>
        </w:rPr>
        <w:t>审批并出证</w:t>
      </w:r>
      <w:r>
        <w:rPr>
          <w:rFonts w:ascii="宋体" w:eastAsia="宋体" w:cs="宋体"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4、现场审查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后置现场审查（后置审查业务，不计入审批时限。）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全覆盖例行检查（告知承诺业务，不计入审批时限。）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  <w:lang w:eastAsia="zh-CN"/>
        </w:rPr>
        <w:t>5</w:t>
      </w:r>
      <w:r>
        <w:rPr>
          <w:rFonts w:ascii="宋体" w:eastAsia="宋体" w:cs="宋体" w:hint="eastAsia"/>
          <w:sz w:val="18"/>
          <w:szCs w:val="18"/>
          <w:lang w:eastAsia="zh-CN"/>
        </w:rPr>
        <w:t>.办结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后置现场审查、全覆盖例行检查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</w:rPr>
        <w:t>九</w:t>
      </w: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法定办结时限:</w:t>
      </w:r>
      <w:r>
        <w:rPr>
          <w:rFonts w:ascii="宋体" w:eastAsia="宋体" w:cs="宋体"/>
          <w:sz w:val="18"/>
          <w:szCs w:val="18"/>
          <w:lang w:val="en-US" w:eastAsia="zh-CN"/>
        </w:rPr>
        <w:t>30</w:t>
      </w:r>
      <w:r>
        <w:rPr>
          <w:rFonts w:ascii="宋体" w:eastAsia="宋体" w:cs="宋体" w:hint="eastAsia"/>
          <w:sz w:val="18"/>
          <w:szCs w:val="18"/>
          <w:lang w:eastAsia="zh-CN"/>
        </w:rPr>
        <w:t>个工作日</w:t>
      </w:r>
    </w:p>
    <w:p>
      <w:pPr>
        <w:rPr>
          <w:rFonts w:ascii="宋体"/>
          <w:sz w:val="18"/>
          <w:szCs w:val="18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承诺办结时限:</w:t>
      </w:r>
      <w:r>
        <w:rPr>
          <w:rFonts w:ascii="宋体"/>
          <w:sz w:val="18"/>
          <w:szCs w:val="18"/>
        </w:rPr>
        <w:t>13</w:t>
      </w:r>
      <w:r>
        <w:rPr>
          <w:rFonts w:ascii="宋体" w:hint="eastAsia"/>
          <w:sz w:val="18"/>
          <w:szCs w:val="18"/>
        </w:rPr>
        <w:t>个工作日</w:t>
      </w:r>
      <w:r>
        <w:rPr>
          <w:rFonts w:ascii="宋体"/>
          <w:sz w:val="18"/>
          <w:szCs w:val="18"/>
          <w:lang w:val="en-US" w:eastAsia="zh-CN"/>
        </w:rPr>
        <w:t>（后置审查业务）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950" w:firstLine="1710"/>
        <w:textAlignment w:val="auto"/>
        <w:rPr>
          <w:rFonts w:ascii="宋体"/>
          <w:szCs w:val="21"/>
          <w:lang w:val="en-US" w:eastAsia="zh-CN"/>
        </w:rPr>
      </w:pPr>
      <w:r>
        <w:rPr>
          <w:rFonts w:ascii="宋体"/>
          <w:sz w:val="18"/>
          <w:szCs w:val="18"/>
          <w:lang w:val="en-US" w:eastAsia="zh-CN"/>
        </w:rPr>
        <w:t>0.5个工作日（告知承诺业务</w:t>
      </w:r>
      <w:r>
        <w:rPr>
          <w:rFonts w:ascii="宋体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收费项目:暂无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收费依据:暂无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收费标准:暂无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网上</w:t>
      </w:r>
      <w:r>
        <w:rPr>
          <w:rFonts w:ascii="宋体" w:eastAsia="宋体" w:cs="宋体" w:hint="eastAsia"/>
          <w:sz w:val="18"/>
          <w:szCs w:val="18"/>
          <w:lang w:eastAsia="zh-CN"/>
        </w:rPr>
        <w:t>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申请人在申请行政审批过程中，依法享有陈述权、申辩权；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申请人的行政许可申请被驳回的有权要求说明理由;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（三）</w:t>
      </w:r>
      <w:r>
        <w:rPr>
          <w:rFonts w:ascii="宋体" w:eastAsia="宋体" w:cs="宋体" w:hint="eastAsia"/>
          <w:sz w:val="18"/>
          <w:szCs w:val="18"/>
          <w:lang w:eastAsia="zh-CN"/>
        </w:rPr>
        <w:t>申请人不服行政许可决定的，有权依法申请行政复议或者提起行政诉讼。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十三、咨询方式</w:t>
      </w:r>
      <w:r>
        <w:rPr>
          <w:rFonts w:ascii="宋体" w:eastAsia="宋体" w:cs="宋体" w:hint="eastAsia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秦皇岛市海港区民族里6号秦皇岛市政务服务大厅3楼窗口</w:t>
      </w:r>
      <w:r>
        <w:rPr>
          <w:rFonts w:ascii="宋体" w:eastAsia="宋体" w:cs="宋体" w:hint="eastAsia"/>
          <w:sz w:val="18"/>
          <w:szCs w:val="18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0335-3655160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（一）</w:t>
      </w:r>
      <w:r>
        <w:rPr>
          <w:rFonts w:ascii="宋体" w:eastAsia="宋体" w:cs="宋体" w:hint="eastAsia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ascii="宋体" w:eastAsia="宋体" w:cs="宋体" w:hint="eastAsia"/>
          <w:sz w:val="18"/>
          <w:szCs w:val="18"/>
          <w:lang w:eastAsia="zh-CN"/>
        </w:rPr>
        <w:t>“办不成事”</w:t>
      </w:r>
      <w:r>
        <w:rPr>
          <w:rFonts w:ascii="宋体" w:eastAsia="宋体" w:cs="宋体"/>
          <w:sz w:val="18"/>
          <w:szCs w:val="18"/>
          <w:lang w:eastAsia="zh-CN"/>
        </w:rPr>
        <w:t>反应窗口</w:t>
      </w:r>
      <w:r>
        <w:rPr>
          <w:rFonts w:ascii="宋体" w:eastAsia="宋体" w:cs="宋体" w:hint="eastAsia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cs="宋体" w:hint="eastAsia"/>
          <w:sz w:val="18"/>
          <w:szCs w:val="18"/>
          <w:lang w:val="en-US" w:eastAsia="zh-CN"/>
        </w:rPr>
        <w:t>（二）</w:t>
      </w:r>
      <w:r>
        <w:rPr>
          <w:rFonts w:ascii="宋体" w:eastAsia="宋体" w:cs="宋体" w:hint="eastAsia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地址: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</w:t>
      </w:r>
      <w:r>
        <w:rPr>
          <w:rFonts w:ascii="宋体" w:eastAsia="宋体" w:cs="宋体" w:hint="eastAsia"/>
          <w:sz w:val="18"/>
          <w:szCs w:val="18"/>
          <w:lang w:eastAsia="zh-CN"/>
        </w:rPr>
        <w:t>(</w:t>
      </w:r>
      <w:r>
        <w:rPr>
          <w:rFonts w:ascii="宋体" w:eastAsia="宋体" w:cs="宋体"/>
          <w:sz w:val="18"/>
          <w:szCs w:val="18"/>
          <w:lang w:eastAsia="zh-CN"/>
        </w:rPr>
        <w:t>民族路6</w:t>
      </w:r>
      <w:r>
        <w:rPr>
          <w:rFonts w:ascii="宋体" w:eastAsia="宋体" w:cs="宋体" w:hint="eastAsia"/>
          <w:sz w:val="18"/>
          <w:szCs w:val="18"/>
          <w:lang w:eastAsia="zh-CN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时间:星期一至星期五:秋冬春季(9月1日~5月31日)上午8:30~12:00，下午</w:t>
      </w:r>
      <w:r>
        <w:rPr>
          <w:rFonts w:ascii="宋体" w:eastAsia="宋体" w:cs="宋体"/>
          <w:sz w:val="18"/>
          <w:szCs w:val="18"/>
          <w:lang w:eastAsia="zh-CN"/>
        </w:rPr>
        <w:t>13:30</w:t>
      </w:r>
      <w:r>
        <w:rPr>
          <w:rFonts w:ascii="宋体" w:eastAsia="宋体" w:cs="宋体" w:hint="eastAsia"/>
          <w:sz w:val="18"/>
          <w:szCs w:val="18"/>
          <w:lang w:eastAsia="zh-CN"/>
        </w:rPr>
        <w:t>~17:30;夏季(6月1日~8月31日)上午8:30~12:00，下午14:30~17:30，法定节假日除外。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 w:hint="eastAsia"/>
          <w:b/>
          <w:bCs/>
          <w:sz w:val="18"/>
          <w:szCs w:val="18"/>
          <w:lang w:eastAsia="zh-CN"/>
        </w:rPr>
      </w:pPr>
      <w:r>
        <w:rPr>
          <w:rFonts w:ascii="宋体" w:eastAsia="宋体" w:cs="宋体" w:hint="eastAsia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 w:hint="eastAsia"/>
          <w:sz w:val="18"/>
          <w:szCs w:val="18"/>
          <w:lang w:eastAsia="zh-CN"/>
        </w:rPr>
        <w:t>网上查询</w:t>
      </w:r>
      <w:r>
        <w:rPr>
          <w:rFonts w:ascii="宋体" w:eastAsia="宋体" w:cs="宋体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河北省市场监督管理局网上办事平台(</w:t>
      </w:r>
      <w:r>
        <w:rPr>
          <w:rFonts w:ascii="宋体" w:hint="eastAsia"/>
          <w:color w:val="000000"/>
          <w:sz w:val="18"/>
          <w:szCs w:val="18"/>
          <w:shd w:val="solid" w:color="FFFFFF" w:fill="FFFFFF"/>
        </w:rPr>
        <w:t>http://s.hebamr.cn/bsdt</w:t>
      </w:r>
      <w:r>
        <w:rPr>
          <w:rFonts w:ascii="宋体" w:cs="宋体" w:hint="eastAsia"/>
          <w:color w:val="000000"/>
          <w:sz w:val="18"/>
          <w:szCs w:val="18"/>
          <w:shd w:val="solid" w:color="FFFFFF" w:fill="FFFFFF"/>
        </w:rPr>
        <w:t>)进行网上申报。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cs="宋体" w:hint="eastAsia"/>
          <w:sz w:val="18"/>
          <w:szCs w:val="18"/>
        </w:rPr>
      </w:pPr>
    </w:p>
    <w:sectPr>
      <w:pgSz w:w="16838" w:h="11906" w:orient="landscape"/>
      <w:pgMar w:top="567" w:right="567" w:bottom="567" w:left="567" w:header="851" w:footer="992" w:gutter="0"/>
      <w:cols w:num="3" w:space="427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A2D8037"/>
    <w:multiLevelType w:val="hybridMultilevel"/>
    <w:tmpl w:val="00000000"/>
    <w:lvl w:ilvl="0">
      <w:start w:val="1"/>
      <w:numFmt w:val="chineseCountingThousand"/>
      <w:lvlRestart w:val="0"/>
      <w:lvlText w:val="（%1）"/>
      <w:lvlJc w:val="left"/>
      <w:pPr>
        <w:ind w:left="540" w:hanging="5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TIzY2E2MDAwZmVjNDE3ZjNjYzBiZmQzNDI0MGRhY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  <w:bCs/>
    </w:rPr>
  </w:style>
  <w:style w:type="character" w:styleId="16">
    <w:name w:val="FollowedHyperlink"/>
    <w:basedOn w:val="10"/>
    <w:rPr>
      <w:color w:val="800080"/>
      <w:u w:val="none"/>
    </w:rPr>
  </w:style>
  <w:style w:type="character" w:styleId="17">
    <w:name w:val="Hyperlink"/>
    <w:basedOn w:val="10"/>
    <w:rPr>
      <w:color w:val="0000FF"/>
      <w:u w:val="none"/>
    </w:rPr>
  </w:style>
  <w:style w:type="character" w:customStyle="1" w:styleId="18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19">
    <w:name w:val="first-child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106</TotalTime>
  <Application>Yozo_Office27021597764231179</Application>
  <Pages>2</Pages>
  <Words>1310</Words>
  <Characters>1601</Characters>
  <Lines>156</Lines>
  <Paragraphs>109</Paragraphs>
  <CharactersWithSpaces>1604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2023-10-11T06:55:00Z</cp:lastPrinted>
  <dcterms:created xsi:type="dcterms:W3CDTF">2023-09-06T02:23:00Z</dcterms:created>
  <dcterms:modified xsi:type="dcterms:W3CDTF">2024-04-07T03:26:41Z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9138A84FD69C47BBAECAE982F1E1A7DD_13</vt:lpwstr>
  </property>
</Properties>
</file>