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lang w:eastAsia="zh-CN"/>
          <w14:textFill>
            <w14:solidFill>
              <w14:schemeClr w14:val="tx1"/>
            </w14:solidFill>
          </w14:textFill>
        </w:rPr>
        <w:t>秦皇岛市醇基液体燃料</w:t>
      </w:r>
      <w:r>
        <w:rPr>
          <w:rFonts w:ascii="Times New Roman" w:hAnsi="Times New Roman"/>
          <w:b/>
          <w:color w:val="000000" w:themeColor="text1"/>
          <w:sz w:val="28"/>
          <w:szCs w:val="28"/>
          <w14:textFill>
            <w14:solidFill>
              <w14:schemeClr w14:val="tx1"/>
            </w14:solidFill>
          </w14:textFill>
        </w:rPr>
        <w:t>产品质量监督抽查实施细则</w:t>
      </w:r>
    </w:p>
    <w:p>
      <w:pPr>
        <w:snapToGrid w:val="0"/>
        <w:spacing w:line="360" w:lineRule="auto"/>
        <w:jc w:val="left"/>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1 抽样</w:t>
      </w:r>
    </w:p>
    <w:p>
      <w:pPr>
        <w:snapToGrid w:val="0"/>
        <w:spacing w:line="360" w:lineRule="auto"/>
        <w:rPr>
          <w:rFonts w:ascii="Times New Roman" w:hAnsi="Times New Roman"/>
          <w:snapToGrid w:val="0"/>
        </w:rPr>
      </w:pPr>
      <w:r>
        <w:rPr>
          <w:rFonts w:ascii="Times New Roman" w:hAnsi="Times New Roman"/>
          <w:color w:val="000000"/>
        </w:rPr>
        <w:t>1.1抽样方法</w:t>
      </w:r>
    </w:p>
    <w:p>
      <w:pPr>
        <w:snapToGrid w:val="0"/>
        <w:spacing w:line="360" w:lineRule="auto"/>
        <w:ind w:firstLine="420" w:firstLineChars="200"/>
        <w:rPr>
          <w:rFonts w:ascii="Times New Roman" w:hAnsi="Times New Roman"/>
          <w:snapToGrid w:val="0"/>
        </w:rPr>
      </w:pPr>
      <w:r>
        <w:rPr>
          <w:rFonts w:ascii="Times New Roman" w:hAnsi="Times New Roman"/>
          <w:snapToGrid w:val="0"/>
        </w:rPr>
        <w:t>以随机抽样的方式在被抽样生产者、销售者的待销产品中抽取。</w:t>
      </w:r>
    </w:p>
    <w:p>
      <w:pPr>
        <w:snapToGrid w:val="0"/>
        <w:spacing w:line="360" w:lineRule="auto"/>
        <w:ind w:firstLine="420" w:firstLineChars="200"/>
        <w:rPr>
          <w:rFonts w:ascii="Times New Roman" w:hAnsi="Times New Roman"/>
          <w:snapToGrid w:val="0"/>
        </w:rPr>
      </w:pPr>
      <w:r>
        <w:rPr>
          <w:rFonts w:ascii="Times New Roman" w:hAnsi="Times New Roman"/>
          <w:szCs w:val="21"/>
        </w:rPr>
        <w:t>随机数一般可使用随机数表等方法产生。</w:t>
      </w:r>
    </w:p>
    <w:p>
      <w:pPr>
        <w:snapToGrid w:val="0"/>
        <w:spacing w:line="360" w:lineRule="auto"/>
        <w:rPr>
          <w:rFonts w:ascii="Times New Roman" w:hAnsi="Times New Roman"/>
          <w:color w:val="000000"/>
        </w:rPr>
      </w:pPr>
      <w:r>
        <w:rPr>
          <w:rFonts w:ascii="Times New Roman" w:hAnsi="Times New Roman"/>
          <w:color w:val="000000"/>
        </w:rPr>
        <w:t>1.2抽样基数</w:t>
      </w:r>
    </w:p>
    <w:p>
      <w:pPr>
        <w:snapToGrid w:val="0"/>
        <w:spacing w:line="360" w:lineRule="auto"/>
        <w:ind w:firstLine="420" w:firstLineChars="200"/>
        <w:jc w:val="left"/>
        <w:rPr>
          <w:rFonts w:ascii="Times New Roman" w:hAnsi="Times New Roman"/>
          <w:snapToGrid w:val="0"/>
        </w:rPr>
      </w:pPr>
      <w:r>
        <w:rPr>
          <w:rFonts w:ascii="Times New Roman" w:hAnsi="Times New Roman"/>
          <w:snapToGrid w:val="0"/>
        </w:rPr>
        <w:t>抽查样品基数满足抽样数量即可。</w:t>
      </w:r>
    </w:p>
    <w:p>
      <w:pPr>
        <w:snapToGrid w:val="0"/>
        <w:spacing w:line="360" w:lineRule="auto"/>
        <w:jc w:val="left"/>
        <w:rPr>
          <w:rFonts w:ascii="Times New Roman" w:hAnsi="Times New Roman"/>
          <w:snapToGrid w:val="0"/>
        </w:rPr>
      </w:pPr>
      <w:r>
        <w:rPr>
          <w:rFonts w:ascii="Times New Roman" w:hAnsi="Times New Roman"/>
          <w:color w:val="000000"/>
        </w:rPr>
        <w:t>1.3抽样数量</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每批次产品抽取不少于4L样品，其中检验样品不少于2L，备用样品不少于2L，盛装在合适的容器中。</w:t>
      </w:r>
    </w:p>
    <w:p>
      <w:pPr>
        <w:snapToGrid w:val="0"/>
        <w:spacing w:line="360" w:lineRule="auto"/>
        <w:jc w:val="left"/>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2 检验项目及检测方法</w:t>
      </w:r>
    </w:p>
    <w:p>
      <w:pPr>
        <w:snapToGrid w:val="0"/>
        <w:spacing w:before="156" w:beforeLines="50" w:line="360" w:lineRule="auto"/>
        <w:ind w:firstLine="422" w:firstLineChars="200"/>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表1</w:t>
      </w:r>
      <w:r>
        <w:rPr>
          <w:rFonts w:hint="eastAsia" w:ascii="Times New Roman" w:hAnsi="Times New Roman"/>
          <w:b/>
          <w:color w:val="000000" w:themeColor="text1"/>
          <w:szCs w:val="21"/>
          <w:lang w:eastAsia="zh-CN"/>
          <w14:textFill>
            <w14:solidFill>
              <w14:schemeClr w14:val="tx1"/>
            </w14:solidFill>
          </w14:textFill>
        </w:rPr>
        <w:t>醇基液体</w:t>
      </w:r>
      <w:r>
        <w:rPr>
          <w:rFonts w:ascii="Times New Roman" w:hAnsi="Times New Roman"/>
          <w:b/>
          <w:color w:val="000000" w:themeColor="text1"/>
          <w:szCs w:val="21"/>
          <w14:textFill>
            <w14:solidFill>
              <w14:schemeClr w14:val="tx1"/>
            </w14:solidFill>
          </w14:textFill>
        </w:rPr>
        <w:t>产品检验项目</w:t>
      </w:r>
    </w:p>
    <w:tbl>
      <w:tblPr>
        <w:tblStyle w:val="10"/>
        <w:tblW w:w="7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3"/>
        <w:gridCol w:w="3915"/>
        <w:gridCol w:w="2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23" w:type="dxa"/>
            <w:vMerge w:val="restart"/>
            <w:vAlign w:val="center"/>
          </w:tcPr>
          <w:p>
            <w:pPr>
              <w:snapToGrid w:val="0"/>
              <w:jc w:val="center"/>
              <w:rPr>
                <w:rFonts w:ascii="Times New Roman" w:hAnsi="Times New Roman" w:eastAsiaTheme="minorEastAsia"/>
                <w:szCs w:val="21"/>
              </w:rPr>
            </w:pPr>
            <w:r>
              <w:rPr>
                <w:rFonts w:ascii="Times New Roman" w:hAnsi="Times New Roman" w:eastAsiaTheme="minorEastAsia"/>
                <w:szCs w:val="21"/>
              </w:rPr>
              <w:t>序号</w:t>
            </w:r>
          </w:p>
        </w:tc>
        <w:tc>
          <w:tcPr>
            <w:tcW w:w="3915" w:type="dxa"/>
            <w:vMerge w:val="restart"/>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cs="宋体"/>
                <w:b/>
                <w:bCs/>
                <w:i w:val="0"/>
                <w:iCs w:val="0"/>
                <w:color w:val="000000"/>
                <w:kern w:val="0"/>
                <w:sz w:val="20"/>
                <w:szCs w:val="20"/>
                <w:u w:val="none"/>
                <w:lang w:val="en-US" w:eastAsia="zh-CN" w:bidi="ar"/>
              </w:rPr>
              <w:t>项目名称</w:t>
            </w:r>
          </w:p>
        </w:tc>
        <w:tc>
          <w:tcPr>
            <w:tcW w:w="2641" w:type="dxa"/>
            <w:vMerge w:val="restart"/>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cs="宋体"/>
                <w:b/>
                <w:bCs/>
                <w:i w:val="0"/>
                <w:iCs w:val="0"/>
                <w:color w:val="000000"/>
                <w:kern w:val="0"/>
                <w:sz w:val="20"/>
                <w:szCs w:val="20"/>
                <w:u w:val="none"/>
                <w:lang w:val="en-US" w:eastAsia="zh-CN" w:bidi="ar"/>
              </w:rPr>
              <w:t>检测标准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tblHeader/>
          <w:jc w:val="center"/>
        </w:trPr>
        <w:tc>
          <w:tcPr>
            <w:tcW w:w="723" w:type="dxa"/>
            <w:vMerge w:val="continue"/>
            <w:vAlign w:val="center"/>
          </w:tcPr>
          <w:p>
            <w:pPr>
              <w:snapToGrid w:val="0"/>
              <w:jc w:val="center"/>
              <w:rPr>
                <w:rFonts w:ascii="Times New Roman" w:hAnsi="Times New Roman" w:eastAsiaTheme="minorEastAsia"/>
                <w:szCs w:val="21"/>
              </w:rPr>
            </w:pPr>
          </w:p>
        </w:tc>
        <w:tc>
          <w:tcPr>
            <w:tcW w:w="3915" w:type="dxa"/>
            <w:vMerge w:val="continue"/>
            <w:vAlign w:val="center"/>
          </w:tcPr>
          <w:p>
            <w:pPr>
              <w:snapToGrid w:val="0"/>
              <w:jc w:val="center"/>
              <w:rPr>
                <w:rFonts w:ascii="Times New Roman" w:hAnsi="Times New Roman" w:eastAsiaTheme="minorEastAsia"/>
                <w:szCs w:val="21"/>
              </w:rPr>
            </w:pPr>
          </w:p>
        </w:tc>
        <w:tc>
          <w:tcPr>
            <w:tcW w:w="2641" w:type="dxa"/>
            <w:vMerge w:val="continue"/>
            <w:vAlign w:val="center"/>
          </w:tcPr>
          <w:p>
            <w:pPr>
              <w:snapToGrid w:val="0"/>
              <w:jc w:val="center"/>
              <w:rPr>
                <w:rFonts w:ascii="Times New Roman" w:hAnsi="Times New Roman" w:eastAsia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3" w:type="dxa"/>
            <w:vAlign w:val="center"/>
          </w:tcPr>
          <w:p>
            <w:pPr>
              <w:snapToGrid w:val="0"/>
              <w:jc w:val="center"/>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1</w:t>
            </w:r>
          </w:p>
        </w:tc>
        <w:tc>
          <w:tcPr>
            <w:tcW w:w="3915"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醇含量</w:t>
            </w:r>
          </w:p>
        </w:tc>
        <w:tc>
          <w:tcPr>
            <w:tcW w:w="2641"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GB 16663-1996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3" w:type="dxa"/>
            <w:vAlign w:val="center"/>
          </w:tcPr>
          <w:p>
            <w:pPr>
              <w:snapToGrid w:val="0"/>
              <w:jc w:val="center"/>
              <w:rPr>
                <w:rFonts w:ascii="Times New Roman" w:hAnsi="Times New Roman" w:cs="Times New Roman" w:eastAsiaTheme="minorEastAsia"/>
                <w:kern w:val="2"/>
                <w:sz w:val="21"/>
                <w:szCs w:val="21"/>
                <w:lang w:val="en-US" w:eastAsia="zh-CN" w:bidi="ar-SA"/>
              </w:rPr>
            </w:pPr>
            <w:r>
              <w:rPr>
                <w:rFonts w:ascii="Times New Roman" w:hAnsi="Times New Roman" w:eastAsiaTheme="minorEastAsia"/>
                <w:szCs w:val="21"/>
              </w:rPr>
              <w:t>2</w:t>
            </w:r>
          </w:p>
        </w:tc>
        <w:tc>
          <w:tcPr>
            <w:tcW w:w="3915" w:type="dxa"/>
            <w:vAlign w:val="center"/>
          </w:tcPr>
          <w:p>
            <w:pPr>
              <w:keepNext w:val="0"/>
              <w:keepLines w:val="0"/>
              <w:widowControl/>
              <w:suppressLineNumbers w:val="0"/>
              <w:jc w:val="center"/>
              <w:textAlignment w:val="center"/>
              <w:rPr>
                <w:rFonts w:hint="eastAsia" w:ascii="Times New Roman" w:hAnsi="Times New Roman" w:eastAsiaTheme="minorEastAsia"/>
                <w:szCs w:val="21"/>
                <w:lang w:eastAsia="zh-CN"/>
              </w:rPr>
            </w:pPr>
            <w:r>
              <w:rPr>
                <w:rFonts w:hint="eastAsia" w:ascii="宋体" w:hAnsi="宋体" w:eastAsia="宋体" w:cs="宋体"/>
                <w:i w:val="0"/>
                <w:iCs w:val="0"/>
                <w:color w:val="000000"/>
                <w:kern w:val="0"/>
                <w:sz w:val="20"/>
                <w:szCs w:val="20"/>
                <w:u w:val="none"/>
                <w:lang w:val="en-US" w:eastAsia="zh-CN" w:bidi="ar"/>
              </w:rPr>
              <w:t>密度（20℃）</w:t>
            </w:r>
          </w:p>
        </w:tc>
        <w:tc>
          <w:tcPr>
            <w:tcW w:w="2641" w:type="dxa"/>
            <w:vAlign w:val="center"/>
          </w:tcPr>
          <w:p>
            <w:pPr>
              <w:keepNext w:val="0"/>
              <w:keepLines w:val="0"/>
              <w:widowControl/>
              <w:suppressLineNumbers w:val="0"/>
              <w:jc w:val="center"/>
              <w:textAlignment w:val="center"/>
              <w:rPr>
                <w:rFonts w:hint="default" w:ascii="Times New Roman" w:hAnsi="Times New Roman" w:eastAsiaTheme="minorEastAsia"/>
                <w:szCs w:val="21"/>
                <w:lang w:val="en-US" w:eastAsia="zh-CN"/>
              </w:rPr>
            </w:pPr>
            <w:r>
              <w:rPr>
                <w:rFonts w:hint="eastAsia" w:ascii="宋体" w:hAnsi="宋体" w:eastAsia="宋体" w:cs="宋体"/>
                <w:i w:val="0"/>
                <w:iCs w:val="0"/>
                <w:color w:val="000000"/>
                <w:kern w:val="0"/>
                <w:sz w:val="20"/>
                <w:szCs w:val="20"/>
                <w:u w:val="none"/>
                <w:lang w:val="en-US" w:eastAsia="zh-CN" w:bidi="ar"/>
              </w:rPr>
              <w:t>GB/T 611-2021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6" w:hRule="atLeast"/>
          <w:jc w:val="center"/>
        </w:trPr>
        <w:tc>
          <w:tcPr>
            <w:tcW w:w="723" w:type="dxa"/>
            <w:vAlign w:val="center"/>
          </w:tcPr>
          <w:p>
            <w:pPr>
              <w:snapToGrid w:val="0"/>
              <w:jc w:val="center"/>
              <w:rPr>
                <w:rFonts w:ascii="Times New Roman" w:hAnsi="Times New Roman" w:cs="Times New Roman" w:eastAsiaTheme="minorEastAsia"/>
                <w:kern w:val="2"/>
                <w:sz w:val="21"/>
                <w:szCs w:val="21"/>
                <w:lang w:val="en-US" w:eastAsia="zh-CN" w:bidi="ar-SA"/>
              </w:rPr>
            </w:pPr>
            <w:r>
              <w:rPr>
                <w:rFonts w:ascii="Times New Roman" w:hAnsi="Times New Roman" w:eastAsiaTheme="minorEastAsia"/>
                <w:szCs w:val="21"/>
              </w:rPr>
              <w:t>3</w:t>
            </w:r>
          </w:p>
        </w:tc>
        <w:tc>
          <w:tcPr>
            <w:tcW w:w="3915"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机械杂质</w:t>
            </w:r>
          </w:p>
        </w:tc>
        <w:tc>
          <w:tcPr>
            <w:tcW w:w="2641"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GB/T 511-2010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3" w:type="dxa"/>
            <w:vAlign w:val="center"/>
          </w:tcPr>
          <w:p>
            <w:pPr>
              <w:snapToGrid w:val="0"/>
              <w:jc w:val="center"/>
              <w:rPr>
                <w:rFonts w:ascii="Times New Roman" w:hAnsi="Times New Roman" w:cs="Times New Roman" w:eastAsiaTheme="minorEastAsia"/>
                <w:kern w:val="2"/>
                <w:sz w:val="21"/>
                <w:szCs w:val="21"/>
                <w:lang w:val="en-US" w:eastAsia="zh-CN" w:bidi="ar-SA"/>
              </w:rPr>
            </w:pPr>
            <w:r>
              <w:rPr>
                <w:rFonts w:ascii="Times New Roman" w:hAnsi="Times New Roman" w:eastAsiaTheme="minorEastAsia"/>
                <w:szCs w:val="21"/>
              </w:rPr>
              <w:t>4</w:t>
            </w:r>
          </w:p>
        </w:tc>
        <w:tc>
          <w:tcPr>
            <w:tcW w:w="3915"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凝点</w:t>
            </w:r>
          </w:p>
        </w:tc>
        <w:tc>
          <w:tcPr>
            <w:tcW w:w="2641"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GB/T 510-2018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3" w:type="dxa"/>
            <w:vAlign w:val="center"/>
          </w:tcPr>
          <w:p>
            <w:pPr>
              <w:snapToGrid w:val="0"/>
              <w:jc w:val="center"/>
              <w:rPr>
                <w:rFonts w:ascii="Times New Roman" w:hAnsi="Times New Roman" w:cs="Times New Roman" w:eastAsiaTheme="minorEastAsia"/>
                <w:kern w:val="2"/>
                <w:sz w:val="21"/>
                <w:szCs w:val="21"/>
                <w:lang w:val="en-US" w:eastAsia="zh-CN" w:bidi="ar-SA"/>
              </w:rPr>
            </w:pPr>
            <w:r>
              <w:rPr>
                <w:rFonts w:ascii="Times New Roman" w:hAnsi="Times New Roman" w:eastAsiaTheme="minorEastAsia"/>
                <w:szCs w:val="21"/>
              </w:rPr>
              <w:t>5</w:t>
            </w:r>
          </w:p>
        </w:tc>
        <w:tc>
          <w:tcPr>
            <w:tcW w:w="3915"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pH值</w:t>
            </w:r>
          </w:p>
        </w:tc>
        <w:tc>
          <w:tcPr>
            <w:tcW w:w="2641"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GB 16663-1996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3" w:type="dxa"/>
            <w:vAlign w:val="center"/>
          </w:tcPr>
          <w:p>
            <w:pPr>
              <w:snapToGrid w:val="0"/>
              <w:jc w:val="center"/>
              <w:rPr>
                <w:rFonts w:ascii="Times New Roman" w:hAnsi="Times New Roman" w:cs="Times New Roman" w:eastAsiaTheme="minorEastAsia"/>
                <w:kern w:val="2"/>
                <w:sz w:val="21"/>
                <w:szCs w:val="21"/>
                <w:lang w:val="en-US" w:eastAsia="zh-CN" w:bidi="ar-SA"/>
              </w:rPr>
            </w:pPr>
            <w:r>
              <w:rPr>
                <w:rFonts w:ascii="Times New Roman" w:hAnsi="Times New Roman" w:eastAsiaTheme="minorEastAsia"/>
                <w:szCs w:val="21"/>
              </w:rPr>
              <w:t>6</w:t>
            </w:r>
          </w:p>
        </w:tc>
        <w:tc>
          <w:tcPr>
            <w:tcW w:w="3915"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50%馏出温度</w:t>
            </w:r>
          </w:p>
        </w:tc>
        <w:tc>
          <w:tcPr>
            <w:tcW w:w="2641" w:type="dxa"/>
            <w:vAlign w:val="center"/>
          </w:tcPr>
          <w:p>
            <w:pPr>
              <w:keepNext w:val="0"/>
              <w:keepLines w:val="0"/>
              <w:widowControl/>
              <w:suppressLineNumbers w:val="0"/>
              <w:jc w:val="center"/>
              <w:textAlignment w:val="center"/>
              <w:rPr>
                <w:rFonts w:ascii="Times New Roman" w:hAnsi="Times New Roman" w:eastAsiaTheme="minorEastAsia"/>
                <w:szCs w:val="21"/>
              </w:rPr>
            </w:pPr>
            <w:r>
              <w:rPr>
                <w:rFonts w:hint="eastAsia" w:ascii="宋体" w:hAnsi="宋体" w:eastAsia="宋体" w:cs="宋体"/>
                <w:i w:val="0"/>
                <w:iCs w:val="0"/>
                <w:color w:val="000000"/>
                <w:kern w:val="0"/>
                <w:sz w:val="20"/>
                <w:szCs w:val="20"/>
                <w:u w:val="none"/>
                <w:lang w:val="en-US" w:eastAsia="zh-CN" w:bidi="ar"/>
              </w:rPr>
              <w:t>GB 16663-1996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3" w:type="dxa"/>
            <w:vAlign w:val="center"/>
          </w:tcPr>
          <w:p>
            <w:pPr>
              <w:snapToGrid w:val="0"/>
              <w:jc w:val="center"/>
              <w:rPr>
                <w:rFonts w:ascii="Times New Roman" w:hAnsi="Times New Roman" w:cs="Times New Roman" w:eastAsiaTheme="minorEastAsia"/>
                <w:kern w:val="2"/>
                <w:sz w:val="21"/>
                <w:szCs w:val="21"/>
                <w:lang w:val="en-US" w:eastAsia="zh-CN" w:bidi="ar-SA"/>
              </w:rPr>
            </w:pPr>
            <w:r>
              <w:rPr>
                <w:rFonts w:ascii="Times New Roman" w:hAnsi="Times New Roman" w:eastAsiaTheme="minorEastAsia"/>
                <w:szCs w:val="21"/>
              </w:rPr>
              <w:t>7</w:t>
            </w:r>
          </w:p>
        </w:tc>
        <w:tc>
          <w:tcPr>
            <w:tcW w:w="3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稳定性（-20℃）</w:t>
            </w:r>
          </w:p>
        </w:tc>
        <w:tc>
          <w:tcPr>
            <w:tcW w:w="26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 6986-2014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3" w:type="dxa"/>
            <w:vAlign w:val="center"/>
          </w:tcPr>
          <w:p>
            <w:pPr>
              <w:keepNext w:val="0"/>
              <w:keepLines w:val="0"/>
              <w:widowControl/>
              <w:suppressLineNumbers w:val="0"/>
              <w:jc w:val="center"/>
              <w:textAlignment w:val="center"/>
              <w:rPr>
                <w:rFonts w:ascii="Times New Roman" w:hAnsi="Times New Roman" w:cs="Times New Roman" w:eastAsiaTheme="minorEastAsia"/>
                <w:kern w:val="2"/>
                <w:sz w:val="21"/>
                <w:szCs w:val="21"/>
                <w:lang w:val="en-US" w:eastAsia="zh-CN" w:bidi="ar-SA"/>
              </w:rPr>
            </w:pPr>
            <w:r>
              <w:rPr>
                <w:rFonts w:hint="eastAsia" w:ascii="宋体" w:hAnsi="宋体" w:cs="宋体"/>
                <w:i w:val="0"/>
                <w:iCs w:val="0"/>
                <w:color w:val="000000"/>
                <w:kern w:val="0"/>
                <w:sz w:val="20"/>
                <w:szCs w:val="20"/>
                <w:u w:val="none"/>
                <w:lang w:val="en-US" w:eastAsia="zh-CN" w:bidi="ar"/>
              </w:rPr>
              <w:t>8</w:t>
            </w:r>
          </w:p>
        </w:tc>
        <w:tc>
          <w:tcPr>
            <w:tcW w:w="3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甲醛试验</w:t>
            </w:r>
          </w:p>
        </w:tc>
        <w:tc>
          <w:tcPr>
            <w:tcW w:w="26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 16663-1996</w:t>
            </w:r>
          </w:p>
        </w:tc>
      </w:tr>
    </w:tbl>
    <w:p>
      <w:pPr>
        <w:snapToGrid w:val="0"/>
        <w:spacing w:line="360" w:lineRule="auto"/>
        <w:ind w:firstLine="420" w:firstLineChars="200"/>
        <w:jc w:val="left"/>
        <w:rPr>
          <w:rFonts w:ascii="Times New Roman" w:hAnsi="Times New Roman"/>
          <w:snapToGrid w:val="0"/>
        </w:rPr>
      </w:pPr>
      <w:r>
        <w:rPr>
          <w:rFonts w:ascii="Times New Roman" w:hAnsi="Times New Roman"/>
          <w:color w:val="000000"/>
          <w:szCs w:val="21"/>
        </w:rPr>
        <w:t>注：</w:t>
      </w:r>
      <w:r>
        <w:rPr>
          <w:rFonts w:ascii="Times New Roman" w:hAnsi="Times New Roman"/>
          <w:snapToGrid w:val="0"/>
        </w:rPr>
        <w:t>上表所列检验项目是有关法律法规、标准等规定的，重点涉及健康、安全、节能、环保以及消费者、有关组织反映有质量问题的重要项目。</w:t>
      </w:r>
    </w:p>
    <w:p>
      <w:pPr>
        <w:snapToGrid w:val="0"/>
        <w:spacing w:line="360" w:lineRule="auto"/>
        <w:ind w:firstLine="420" w:firstLineChars="200"/>
        <w:jc w:val="left"/>
        <w:rPr>
          <w:rFonts w:ascii="Times New Roman" w:hAnsi="Times New Roman"/>
          <w:color w:val="000000"/>
          <w:szCs w:val="21"/>
        </w:rPr>
      </w:pPr>
      <w:r>
        <w:rPr>
          <w:rFonts w:ascii="Times New Roman" w:hAnsi="Times New Roman"/>
          <w:snapToGrid w:val="0"/>
        </w:rPr>
        <w:t>执行企业标准、团体标准、地方标准的产品，检验项目参照上述内容执行。</w:t>
      </w:r>
    </w:p>
    <w:p>
      <w:pPr>
        <w:snapToGrid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凡是注日期的文件，其随后所有的修改单（不包括勘误的内容）或修订版不适用于本规范。凡是不注日期的文件，其最新版本适用于本细则。</w:t>
      </w:r>
    </w:p>
    <w:p>
      <w:pPr>
        <w:snapToGrid w:val="0"/>
        <w:spacing w:line="360" w:lineRule="auto"/>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3 判定规则</w:t>
      </w:r>
    </w:p>
    <w:p>
      <w:pPr>
        <w:snapToGrid w:val="0"/>
        <w:spacing w:line="360"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3.1标准依据</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GB 16663-1996</w:t>
      </w:r>
      <w:r>
        <w:rPr>
          <w:rFonts w:ascii="Times New Roman" w:hAnsi="Times New Roman"/>
          <w:szCs w:val="21"/>
        </w:rPr>
        <w:t xml:space="preserve">  </w:t>
      </w:r>
      <w:r>
        <w:rPr>
          <w:rFonts w:hint="eastAsia" w:ascii="Times New Roman" w:hAnsi="Times New Roman"/>
          <w:szCs w:val="21"/>
        </w:rPr>
        <w:t>醇基液体燃料</w:t>
      </w:r>
    </w:p>
    <w:p>
      <w:pPr>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相关的法律、行政法规、部门规章、规范性文件</w:t>
      </w:r>
    </w:p>
    <w:p>
      <w:pPr>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现行有效的企业标准、团体标准、地方标准及产品明示质量要求</w:t>
      </w:r>
    </w:p>
    <w:p>
      <w:pPr>
        <w:snapToGrid w:val="0"/>
        <w:spacing w:line="360" w:lineRule="auto"/>
        <w:rPr>
          <w:rFonts w:ascii="Times New Roman" w:hAnsi="Times New Roman"/>
          <w:color w:val="000000"/>
          <w:szCs w:val="21"/>
        </w:rPr>
      </w:pPr>
      <w:r>
        <w:rPr>
          <w:rFonts w:ascii="Times New Roman" w:hAnsi="Times New Roman"/>
          <w:color w:val="000000"/>
          <w:szCs w:val="21"/>
        </w:rPr>
        <w:t>3.2判定原则</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经检验，检验项目全部合格，判定为被抽查产品所检项目未发现不合格；检验项目中任一项或一项以上不合格，判定为</w:t>
      </w:r>
      <w:bookmarkStart w:id="0" w:name="_GoBack"/>
      <w:bookmarkEnd w:id="0"/>
      <w:r>
        <w:rPr>
          <w:rFonts w:ascii="Times New Roman" w:hAnsi="Times New Roman"/>
          <w:color w:val="000000"/>
          <w:szCs w:val="21"/>
        </w:rPr>
        <w:t>被抽查产品不合格。</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若被检产品明示的质量要求高于本细则中检验项目依据的标准要求时，应按被检产品明示的质量要求判定。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若被检产品明示的质量要求低于本细则中检验项目依据的强制性标准要求时，应按照强制性标准要求判定。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若被检产品明示的质量要求低于或包含本细则中检验项目依据的推荐性标准要求时，应以被检产品明示的质量要求判定，但应在检验报告备注中进行说明。</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若被检产品明示的质量要求缺少本细则中检验项目依据的推荐性标准要求时，该项目不参与判定，但应在检验报告备注中进行说明。</w:t>
      </w:r>
    </w:p>
    <w:p>
      <w:pPr>
        <w:snapToGrid w:val="0"/>
        <w:spacing w:line="360" w:lineRule="auto"/>
        <w:rPr>
          <w:rFonts w:ascii="Times New Roman" w:hAnsi="Times New Roman"/>
          <w:b/>
          <w:bCs/>
          <w:color w:val="000000"/>
          <w:szCs w:val="21"/>
        </w:rPr>
      </w:pPr>
      <w:r>
        <w:rPr>
          <w:rFonts w:ascii="Times New Roman" w:hAnsi="Times New Roman" w:eastAsiaTheme="majorEastAsia"/>
          <w:b/>
          <w:bCs/>
          <w:color w:val="000000"/>
          <w:szCs w:val="21"/>
        </w:rPr>
        <w:t>4 异议复检</w:t>
      </w:r>
      <w:r>
        <w:rPr>
          <w:rFonts w:ascii="Times New Roman" w:hAnsi="Times New Roman"/>
          <w:b/>
          <w:bCs/>
          <w:color w:val="000000"/>
          <w:szCs w:val="21"/>
        </w:rPr>
        <w:t xml:space="preserve"> </w:t>
      </w:r>
    </w:p>
    <w:p>
      <w:pPr>
        <w:snapToGrid w:val="0"/>
        <w:spacing w:line="360" w:lineRule="auto"/>
        <w:ind w:firstLine="420" w:firstLineChars="200"/>
        <w:rPr>
          <w:rFonts w:ascii="Times New Roman" w:hAnsi="Times New Roman"/>
          <w:b/>
          <w:color w:val="000000" w:themeColor="text1"/>
          <w:szCs w:val="21"/>
          <w14:textFill>
            <w14:solidFill>
              <w14:schemeClr w14:val="tx1"/>
            </w14:solidFill>
          </w14:textFill>
        </w:rPr>
      </w:pPr>
      <w:r>
        <w:rPr>
          <w:rFonts w:ascii="Times New Roman" w:hAnsi="Times New Roman"/>
          <w:color w:val="000000"/>
          <w:szCs w:val="21"/>
        </w:rPr>
        <w:t>本细则中确定的全部检验项目，采用备用样品进行复检。</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Y2NmQ1MGIwODVhMDg3ZGZmMDQyZTAyZGU4MmQifQ=="/>
  </w:docVars>
  <w:rsids>
    <w:rsidRoot w:val="00172A27"/>
    <w:rsid w:val="0000105F"/>
    <w:rsid w:val="0000190D"/>
    <w:rsid w:val="000023EB"/>
    <w:rsid w:val="00006A6B"/>
    <w:rsid w:val="00013CA2"/>
    <w:rsid w:val="00027F43"/>
    <w:rsid w:val="00043975"/>
    <w:rsid w:val="00044F76"/>
    <w:rsid w:val="00063D84"/>
    <w:rsid w:val="000A7BC0"/>
    <w:rsid w:val="000C27FA"/>
    <w:rsid w:val="000F1F14"/>
    <w:rsid w:val="000F29A8"/>
    <w:rsid w:val="00110983"/>
    <w:rsid w:val="0011401E"/>
    <w:rsid w:val="0012489D"/>
    <w:rsid w:val="0014415E"/>
    <w:rsid w:val="00157B83"/>
    <w:rsid w:val="001604BD"/>
    <w:rsid w:val="00172A27"/>
    <w:rsid w:val="00176589"/>
    <w:rsid w:val="001B6251"/>
    <w:rsid w:val="001C6EDA"/>
    <w:rsid w:val="001D086B"/>
    <w:rsid w:val="001E2771"/>
    <w:rsid w:val="001E519A"/>
    <w:rsid w:val="002117EB"/>
    <w:rsid w:val="00217329"/>
    <w:rsid w:val="002177EF"/>
    <w:rsid w:val="00221BFC"/>
    <w:rsid w:val="00222D0E"/>
    <w:rsid w:val="00231EDA"/>
    <w:rsid w:val="00232870"/>
    <w:rsid w:val="0024530B"/>
    <w:rsid w:val="00287A5F"/>
    <w:rsid w:val="00290F73"/>
    <w:rsid w:val="002957C9"/>
    <w:rsid w:val="002B4FF5"/>
    <w:rsid w:val="002B6531"/>
    <w:rsid w:val="002C7C7C"/>
    <w:rsid w:val="002D6E1D"/>
    <w:rsid w:val="002F0916"/>
    <w:rsid w:val="00302A56"/>
    <w:rsid w:val="00320882"/>
    <w:rsid w:val="00322282"/>
    <w:rsid w:val="00340C03"/>
    <w:rsid w:val="0034770E"/>
    <w:rsid w:val="00347B7B"/>
    <w:rsid w:val="003713EB"/>
    <w:rsid w:val="00391A12"/>
    <w:rsid w:val="003973A7"/>
    <w:rsid w:val="003C0A00"/>
    <w:rsid w:val="003C55B6"/>
    <w:rsid w:val="00400007"/>
    <w:rsid w:val="00402A48"/>
    <w:rsid w:val="00415D1D"/>
    <w:rsid w:val="00416E33"/>
    <w:rsid w:val="00417416"/>
    <w:rsid w:val="00426118"/>
    <w:rsid w:val="00447AD8"/>
    <w:rsid w:val="00461A4A"/>
    <w:rsid w:val="00473EE7"/>
    <w:rsid w:val="00477B79"/>
    <w:rsid w:val="00481A7F"/>
    <w:rsid w:val="00483743"/>
    <w:rsid w:val="00495A77"/>
    <w:rsid w:val="004C26C7"/>
    <w:rsid w:val="004C7311"/>
    <w:rsid w:val="004D3196"/>
    <w:rsid w:val="004E07C5"/>
    <w:rsid w:val="004E0BCD"/>
    <w:rsid w:val="0050340B"/>
    <w:rsid w:val="00536C6B"/>
    <w:rsid w:val="00547314"/>
    <w:rsid w:val="00560596"/>
    <w:rsid w:val="00570443"/>
    <w:rsid w:val="00571573"/>
    <w:rsid w:val="00591370"/>
    <w:rsid w:val="00593B9E"/>
    <w:rsid w:val="005A117F"/>
    <w:rsid w:val="005B5DC3"/>
    <w:rsid w:val="005D1263"/>
    <w:rsid w:val="005D3471"/>
    <w:rsid w:val="005F0F64"/>
    <w:rsid w:val="006121A5"/>
    <w:rsid w:val="00613995"/>
    <w:rsid w:val="00623093"/>
    <w:rsid w:val="0063607B"/>
    <w:rsid w:val="0066286F"/>
    <w:rsid w:val="00667667"/>
    <w:rsid w:val="00682920"/>
    <w:rsid w:val="006B7A34"/>
    <w:rsid w:val="00712B00"/>
    <w:rsid w:val="0071471A"/>
    <w:rsid w:val="00757673"/>
    <w:rsid w:val="00782905"/>
    <w:rsid w:val="007919D2"/>
    <w:rsid w:val="00793E43"/>
    <w:rsid w:val="00794E40"/>
    <w:rsid w:val="007C10F3"/>
    <w:rsid w:val="007C3737"/>
    <w:rsid w:val="007D4C06"/>
    <w:rsid w:val="007F1B1E"/>
    <w:rsid w:val="007F3C9A"/>
    <w:rsid w:val="00802BCB"/>
    <w:rsid w:val="00806106"/>
    <w:rsid w:val="008074C0"/>
    <w:rsid w:val="00836B1E"/>
    <w:rsid w:val="00853B7D"/>
    <w:rsid w:val="008549A8"/>
    <w:rsid w:val="0086705B"/>
    <w:rsid w:val="008A128E"/>
    <w:rsid w:val="008A63EE"/>
    <w:rsid w:val="008C649C"/>
    <w:rsid w:val="008C7A37"/>
    <w:rsid w:val="008F083D"/>
    <w:rsid w:val="009060C5"/>
    <w:rsid w:val="0091157B"/>
    <w:rsid w:val="00914796"/>
    <w:rsid w:val="0092089C"/>
    <w:rsid w:val="009231AD"/>
    <w:rsid w:val="00923FAB"/>
    <w:rsid w:val="0094764D"/>
    <w:rsid w:val="009502F7"/>
    <w:rsid w:val="00950E9E"/>
    <w:rsid w:val="0095455B"/>
    <w:rsid w:val="00963ACC"/>
    <w:rsid w:val="0096762A"/>
    <w:rsid w:val="0098227F"/>
    <w:rsid w:val="009C5099"/>
    <w:rsid w:val="00A07534"/>
    <w:rsid w:val="00A210F7"/>
    <w:rsid w:val="00A214F2"/>
    <w:rsid w:val="00A308B7"/>
    <w:rsid w:val="00A544AE"/>
    <w:rsid w:val="00A60CC4"/>
    <w:rsid w:val="00A61FC5"/>
    <w:rsid w:val="00A63A52"/>
    <w:rsid w:val="00A7138C"/>
    <w:rsid w:val="00A84D4A"/>
    <w:rsid w:val="00AA7C79"/>
    <w:rsid w:val="00AC1121"/>
    <w:rsid w:val="00AC317E"/>
    <w:rsid w:val="00AD5512"/>
    <w:rsid w:val="00AE54E9"/>
    <w:rsid w:val="00AE6C07"/>
    <w:rsid w:val="00AF3FDC"/>
    <w:rsid w:val="00AF4C0C"/>
    <w:rsid w:val="00B00EC8"/>
    <w:rsid w:val="00B1065D"/>
    <w:rsid w:val="00B13300"/>
    <w:rsid w:val="00B32C26"/>
    <w:rsid w:val="00B335BE"/>
    <w:rsid w:val="00B4120C"/>
    <w:rsid w:val="00B41A10"/>
    <w:rsid w:val="00B6182B"/>
    <w:rsid w:val="00B66133"/>
    <w:rsid w:val="00B8242E"/>
    <w:rsid w:val="00B85956"/>
    <w:rsid w:val="00B96DD8"/>
    <w:rsid w:val="00BA148F"/>
    <w:rsid w:val="00BB4C6A"/>
    <w:rsid w:val="00BD2B5E"/>
    <w:rsid w:val="00BF3569"/>
    <w:rsid w:val="00BF4D5E"/>
    <w:rsid w:val="00C21B0D"/>
    <w:rsid w:val="00C22747"/>
    <w:rsid w:val="00C23FB4"/>
    <w:rsid w:val="00C32B5E"/>
    <w:rsid w:val="00C34007"/>
    <w:rsid w:val="00C415F0"/>
    <w:rsid w:val="00C444FA"/>
    <w:rsid w:val="00C63FF1"/>
    <w:rsid w:val="00CD52F0"/>
    <w:rsid w:val="00CF4EDC"/>
    <w:rsid w:val="00CF6F40"/>
    <w:rsid w:val="00D02787"/>
    <w:rsid w:val="00D15662"/>
    <w:rsid w:val="00D224E8"/>
    <w:rsid w:val="00D43125"/>
    <w:rsid w:val="00D516D1"/>
    <w:rsid w:val="00D61FC9"/>
    <w:rsid w:val="00D73865"/>
    <w:rsid w:val="00D87BF2"/>
    <w:rsid w:val="00DA5651"/>
    <w:rsid w:val="00DB7714"/>
    <w:rsid w:val="00DE15AD"/>
    <w:rsid w:val="00DF6228"/>
    <w:rsid w:val="00E0035A"/>
    <w:rsid w:val="00E15F0C"/>
    <w:rsid w:val="00E20E77"/>
    <w:rsid w:val="00E275AE"/>
    <w:rsid w:val="00E317CB"/>
    <w:rsid w:val="00E42FC0"/>
    <w:rsid w:val="00E95C94"/>
    <w:rsid w:val="00E977A1"/>
    <w:rsid w:val="00EA35E0"/>
    <w:rsid w:val="00EB0AC4"/>
    <w:rsid w:val="00EB5D22"/>
    <w:rsid w:val="00EC7190"/>
    <w:rsid w:val="00ED28E6"/>
    <w:rsid w:val="00ED751F"/>
    <w:rsid w:val="00EE7E8F"/>
    <w:rsid w:val="00EF0A09"/>
    <w:rsid w:val="00EF0CD4"/>
    <w:rsid w:val="00EF6F2F"/>
    <w:rsid w:val="00F00F00"/>
    <w:rsid w:val="00F11770"/>
    <w:rsid w:val="00F21395"/>
    <w:rsid w:val="00F215F6"/>
    <w:rsid w:val="00F42B19"/>
    <w:rsid w:val="00F50970"/>
    <w:rsid w:val="00F77D24"/>
    <w:rsid w:val="00F813C3"/>
    <w:rsid w:val="00FC354F"/>
    <w:rsid w:val="00FE0064"/>
    <w:rsid w:val="015071AC"/>
    <w:rsid w:val="021D3576"/>
    <w:rsid w:val="023E3509"/>
    <w:rsid w:val="023E4D45"/>
    <w:rsid w:val="02C915A2"/>
    <w:rsid w:val="02F159CC"/>
    <w:rsid w:val="03685D29"/>
    <w:rsid w:val="0414544A"/>
    <w:rsid w:val="043E0A9B"/>
    <w:rsid w:val="046E59DE"/>
    <w:rsid w:val="059312A7"/>
    <w:rsid w:val="05E6469D"/>
    <w:rsid w:val="05F96FD0"/>
    <w:rsid w:val="06290D0F"/>
    <w:rsid w:val="06C659EA"/>
    <w:rsid w:val="07B3376B"/>
    <w:rsid w:val="08495099"/>
    <w:rsid w:val="08847D7A"/>
    <w:rsid w:val="08BF18AD"/>
    <w:rsid w:val="092B7FA6"/>
    <w:rsid w:val="09836DEC"/>
    <w:rsid w:val="0A1E4E03"/>
    <w:rsid w:val="0A5567E0"/>
    <w:rsid w:val="0AD07B18"/>
    <w:rsid w:val="0AFF175C"/>
    <w:rsid w:val="0C0A4C3C"/>
    <w:rsid w:val="0DDA4FE8"/>
    <w:rsid w:val="0E8E3A88"/>
    <w:rsid w:val="0EB61225"/>
    <w:rsid w:val="0EC4525E"/>
    <w:rsid w:val="107041BB"/>
    <w:rsid w:val="10917004"/>
    <w:rsid w:val="12247F0B"/>
    <w:rsid w:val="128606BC"/>
    <w:rsid w:val="13500E40"/>
    <w:rsid w:val="13E27985"/>
    <w:rsid w:val="14440D71"/>
    <w:rsid w:val="1479610D"/>
    <w:rsid w:val="14D2466F"/>
    <w:rsid w:val="15703271"/>
    <w:rsid w:val="162953CC"/>
    <w:rsid w:val="16F94C2D"/>
    <w:rsid w:val="177834BD"/>
    <w:rsid w:val="17E74F54"/>
    <w:rsid w:val="193E0448"/>
    <w:rsid w:val="19A14A9F"/>
    <w:rsid w:val="19D55D76"/>
    <w:rsid w:val="1B230956"/>
    <w:rsid w:val="1B5A0D73"/>
    <w:rsid w:val="1BF652B3"/>
    <w:rsid w:val="1C083406"/>
    <w:rsid w:val="1C8A1399"/>
    <w:rsid w:val="1D60394C"/>
    <w:rsid w:val="1E9B1903"/>
    <w:rsid w:val="1EEA015D"/>
    <w:rsid w:val="1F00613C"/>
    <w:rsid w:val="1F5D2C25"/>
    <w:rsid w:val="1FB278AE"/>
    <w:rsid w:val="1FF71F26"/>
    <w:rsid w:val="214C62A1"/>
    <w:rsid w:val="21DC13D3"/>
    <w:rsid w:val="222B63EC"/>
    <w:rsid w:val="22F71CC2"/>
    <w:rsid w:val="244A2AD6"/>
    <w:rsid w:val="256040C9"/>
    <w:rsid w:val="26275E9D"/>
    <w:rsid w:val="2743378F"/>
    <w:rsid w:val="274A4617"/>
    <w:rsid w:val="27D525C3"/>
    <w:rsid w:val="28AD5C41"/>
    <w:rsid w:val="28B83FE1"/>
    <w:rsid w:val="29253660"/>
    <w:rsid w:val="292D47D3"/>
    <w:rsid w:val="2AA80596"/>
    <w:rsid w:val="2C37665E"/>
    <w:rsid w:val="2D797690"/>
    <w:rsid w:val="2E652DD9"/>
    <w:rsid w:val="2F420A1A"/>
    <w:rsid w:val="2F5916D2"/>
    <w:rsid w:val="2F8A2A81"/>
    <w:rsid w:val="2FE16F3E"/>
    <w:rsid w:val="2FE928FB"/>
    <w:rsid w:val="30394C58"/>
    <w:rsid w:val="30493FC3"/>
    <w:rsid w:val="31087FCE"/>
    <w:rsid w:val="31833929"/>
    <w:rsid w:val="319A623C"/>
    <w:rsid w:val="331A749D"/>
    <w:rsid w:val="334F7908"/>
    <w:rsid w:val="34234D7E"/>
    <w:rsid w:val="342E5131"/>
    <w:rsid w:val="34BF45E4"/>
    <w:rsid w:val="35230DEE"/>
    <w:rsid w:val="35426038"/>
    <w:rsid w:val="354B2D72"/>
    <w:rsid w:val="361A1821"/>
    <w:rsid w:val="3658134B"/>
    <w:rsid w:val="368B398A"/>
    <w:rsid w:val="36DA361F"/>
    <w:rsid w:val="36DF100F"/>
    <w:rsid w:val="381A7F0E"/>
    <w:rsid w:val="384421C7"/>
    <w:rsid w:val="38777F57"/>
    <w:rsid w:val="389F22BD"/>
    <w:rsid w:val="3939162E"/>
    <w:rsid w:val="399436D2"/>
    <w:rsid w:val="3AD16BB2"/>
    <w:rsid w:val="3B740E45"/>
    <w:rsid w:val="3BEE4497"/>
    <w:rsid w:val="3C6A1584"/>
    <w:rsid w:val="3C742F42"/>
    <w:rsid w:val="3D3E2DFF"/>
    <w:rsid w:val="3E8B2E1A"/>
    <w:rsid w:val="41C64994"/>
    <w:rsid w:val="424E557E"/>
    <w:rsid w:val="427778BF"/>
    <w:rsid w:val="42EE55DA"/>
    <w:rsid w:val="42F76A97"/>
    <w:rsid w:val="437E4E1B"/>
    <w:rsid w:val="438A114D"/>
    <w:rsid w:val="442424D0"/>
    <w:rsid w:val="449F3A35"/>
    <w:rsid w:val="44CC07F7"/>
    <w:rsid w:val="4505119D"/>
    <w:rsid w:val="45486D02"/>
    <w:rsid w:val="461048F2"/>
    <w:rsid w:val="4685178A"/>
    <w:rsid w:val="47076B93"/>
    <w:rsid w:val="47A00974"/>
    <w:rsid w:val="47FE5D72"/>
    <w:rsid w:val="4801572B"/>
    <w:rsid w:val="483A7E86"/>
    <w:rsid w:val="487C167B"/>
    <w:rsid w:val="489E4AC3"/>
    <w:rsid w:val="48A573C0"/>
    <w:rsid w:val="49967E95"/>
    <w:rsid w:val="4A1C20C6"/>
    <w:rsid w:val="4B367E59"/>
    <w:rsid w:val="4B7818BD"/>
    <w:rsid w:val="4BFB0F01"/>
    <w:rsid w:val="4C1904B3"/>
    <w:rsid w:val="4CC116E4"/>
    <w:rsid w:val="4CCC79FA"/>
    <w:rsid w:val="4CCF13DC"/>
    <w:rsid w:val="4CDE4864"/>
    <w:rsid w:val="4D5066DC"/>
    <w:rsid w:val="4D614DDD"/>
    <w:rsid w:val="4DB25E87"/>
    <w:rsid w:val="4E3866D3"/>
    <w:rsid w:val="4EA66F0E"/>
    <w:rsid w:val="4F0B3B0C"/>
    <w:rsid w:val="4F0F7445"/>
    <w:rsid w:val="4FB13A0E"/>
    <w:rsid w:val="50055D2C"/>
    <w:rsid w:val="50A93EB6"/>
    <w:rsid w:val="50AE1855"/>
    <w:rsid w:val="50F35D0F"/>
    <w:rsid w:val="51510C9A"/>
    <w:rsid w:val="51594871"/>
    <w:rsid w:val="52595B94"/>
    <w:rsid w:val="53104759"/>
    <w:rsid w:val="564409CB"/>
    <w:rsid w:val="569F476B"/>
    <w:rsid w:val="57E874B8"/>
    <w:rsid w:val="58CA5BBC"/>
    <w:rsid w:val="59CA327F"/>
    <w:rsid w:val="5B474F2E"/>
    <w:rsid w:val="5B92711B"/>
    <w:rsid w:val="5BE90DCD"/>
    <w:rsid w:val="5C330394"/>
    <w:rsid w:val="5C381321"/>
    <w:rsid w:val="5C8E4BC2"/>
    <w:rsid w:val="5CF47B6B"/>
    <w:rsid w:val="5D1135FA"/>
    <w:rsid w:val="5D222140"/>
    <w:rsid w:val="5D8D11F8"/>
    <w:rsid w:val="5DF13092"/>
    <w:rsid w:val="5E0D180A"/>
    <w:rsid w:val="5EBB713E"/>
    <w:rsid w:val="5F02609D"/>
    <w:rsid w:val="5FAF7B77"/>
    <w:rsid w:val="6007196F"/>
    <w:rsid w:val="610B6B33"/>
    <w:rsid w:val="6461079E"/>
    <w:rsid w:val="64C22155"/>
    <w:rsid w:val="64DB6A64"/>
    <w:rsid w:val="64E16B15"/>
    <w:rsid w:val="6539513C"/>
    <w:rsid w:val="66FD119D"/>
    <w:rsid w:val="67844CE5"/>
    <w:rsid w:val="67A77FF1"/>
    <w:rsid w:val="685A353A"/>
    <w:rsid w:val="69F53B21"/>
    <w:rsid w:val="6A361EE2"/>
    <w:rsid w:val="6A9D6DFB"/>
    <w:rsid w:val="6AB1250A"/>
    <w:rsid w:val="6B4E692B"/>
    <w:rsid w:val="6BB602B0"/>
    <w:rsid w:val="6C951B8C"/>
    <w:rsid w:val="6CE84DA0"/>
    <w:rsid w:val="6CFD2CD9"/>
    <w:rsid w:val="6F7D0CC8"/>
    <w:rsid w:val="704339D9"/>
    <w:rsid w:val="704954B9"/>
    <w:rsid w:val="705B4626"/>
    <w:rsid w:val="727D5665"/>
    <w:rsid w:val="72B177A2"/>
    <w:rsid w:val="73450FE4"/>
    <w:rsid w:val="7369636C"/>
    <w:rsid w:val="73F016E2"/>
    <w:rsid w:val="74BB5569"/>
    <w:rsid w:val="74D96536"/>
    <w:rsid w:val="75625679"/>
    <w:rsid w:val="75E7018C"/>
    <w:rsid w:val="76530DD9"/>
    <w:rsid w:val="76BE2766"/>
    <w:rsid w:val="76DB1615"/>
    <w:rsid w:val="770B21DD"/>
    <w:rsid w:val="7780276B"/>
    <w:rsid w:val="77D61D38"/>
    <w:rsid w:val="77DF3136"/>
    <w:rsid w:val="77E32046"/>
    <w:rsid w:val="7904460D"/>
    <w:rsid w:val="7A620417"/>
    <w:rsid w:val="7AC3454B"/>
    <w:rsid w:val="7AD24297"/>
    <w:rsid w:val="7B8A1C6E"/>
    <w:rsid w:val="7B942DC9"/>
    <w:rsid w:val="7BB73A59"/>
    <w:rsid w:val="7C9C2EEA"/>
    <w:rsid w:val="7CBB40C6"/>
    <w:rsid w:val="7D005B71"/>
    <w:rsid w:val="7DE755C5"/>
    <w:rsid w:val="7E45528A"/>
    <w:rsid w:val="7E543B9E"/>
    <w:rsid w:val="7F12321E"/>
    <w:rsid w:val="7F3631CA"/>
    <w:rsid w:val="DEBF93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2">
    <w:name w:val="Default Paragraph Font"/>
    <w:semiHidden/>
    <w:unhideWhenUsed/>
    <w:uiPriority w:val="1"/>
  </w:style>
  <w:style w:type="table" w:default="1" w:styleId="10">
    <w:name w:val="Normal Table"/>
    <w:autoRedefin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99"/>
    <w:pPr>
      <w:jc w:val="left"/>
    </w:pPr>
  </w:style>
  <w:style w:type="paragraph" w:styleId="4">
    <w:name w:val="Body Text Indent"/>
    <w:basedOn w:val="1"/>
    <w:link w:val="20"/>
    <w:autoRedefine/>
    <w:qFormat/>
    <w:uiPriority w:val="0"/>
    <w:pPr>
      <w:ind w:firstLine="600" w:firstLineChars="200"/>
    </w:pPr>
    <w:rPr>
      <w:rFonts w:ascii="Times New Roman" w:hAnsi="Times New Roman" w:eastAsia="仿宋_GB2312"/>
      <w:sz w:val="30"/>
      <w:szCs w:val="24"/>
    </w:rPr>
  </w:style>
  <w:style w:type="paragraph" w:styleId="5">
    <w:name w:val="Plain Text"/>
    <w:basedOn w:val="1"/>
    <w:link w:val="14"/>
    <w:semiHidden/>
    <w:unhideWhenUsed/>
    <w:qFormat/>
    <w:uiPriority w:val="99"/>
    <w:rPr>
      <w:rFonts w:ascii="宋体" w:hAnsi="Courier New"/>
      <w:kern w:val="0"/>
      <w:sz w:val="20"/>
      <w:szCs w:val="20"/>
    </w:rPr>
  </w:style>
  <w:style w:type="paragraph" w:styleId="6">
    <w:name w:val="Balloon Text"/>
    <w:basedOn w:val="1"/>
    <w:link w:val="23"/>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unhideWhenUsed/>
    <w:qFormat/>
    <w:uiPriority w:val="99"/>
    <w:pPr>
      <w:spacing w:after="120"/>
      <w:ind w:left="420" w:leftChars="200"/>
    </w:pPr>
    <w:rPr>
      <w:sz w:val="16"/>
      <w:szCs w:val="1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纯文本 Char"/>
    <w:basedOn w:val="12"/>
    <w:link w:val="5"/>
    <w:autoRedefine/>
    <w:semiHidden/>
    <w:qFormat/>
    <w:uiPriority w:val="99"/>
    <w:rPr>
      <w:rFonts w:ascii="宋体" w:hAnsi="Courier New" w:eastAsia="宋体" w:cs="Times New Roman"/>
      <w:kern w:val="0"/>
      <w:sz w:val="20"/>
      <w:szCs w:val="20"/>
    </w:rPr>
  </w:style>
  <w:style w:type="paragraph" w:customStyle="1" w:styleId="15">
    <w:name w:val="列出段落1"/>
    <w:basedOn w:val="1"/>
    <w:qFormat/>
    <w:uiPriority w:val="34"/>
    <w:pPr>
      <w:ind w:firstLine="420" w:firstLineChars="200"/>
    </w:pPr>
  </w:style>
  <w:style w:type="character" w:customStyle="1" w:styleId="16">
    <w:name w:val="页眉 Char"/>
    <w:basedOn w:val="12"/>
    <w:link w:val="8"/>
    <w:semiHidden/>
    <w:qFormat/>
    <w:uiPriority w:val="99"/>
    <w:rPr>
      <w:rFonts w:ascii="Calibri" w:hAnsi="Calibri" w:eastAsia="宋体" w:cs="Times New Roman"/>
      <w:sz w:val="18"/>
      <w:szCs w:val="18"/>
    </w:rPr>
  </w:style>
  <w:style w:type="character" w:customStyle="1" w:styleId="17">
    <w:name w:val="页脚 Char"/>
    <w:basedOn w:val="12"/>
    <w:link w:val="7"/>
    <w:autoRedefine/>
    <w:qFormat/>
    <w:uiPriority w:val="99"/>
    <w:rPr>
      <w:rFonts w:ascii="Calibri" w:hAnsi="Calibri" w:eastAsia="宋体" w:cs="Times New Roman"/>
      <w:sz w:val="18"/>
      <w:szCs w:val="18"/>
    </w:rPr>
  </w:style>
  <w:style w:type="paragraph" w:styleId="18">
    <w:name w:val="List Paragraph"/>
    <w:basedOn w:val="1"/>
    <w:qFormat/>
    <w:uiPriority w:val="99"/>
    <w:pPr>
      <w:ind w:firstLine="420" w:firstLineChars="200"/>
    </w:pPr>
  </w:style>
  <w:style w:type="paragraph" w:customStyle="1" w:styleId="19">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0">
    <w:name w:val="正文文本缩进 Char"/>
    <w:basedOn w:val="12"/>
    <w:link w:val="4"/>
    <w:qFormat/>
    <w:uiPriority w:val="0"/>
    <w:rPr>
      <w:rFonts w:ascii="Times New Roman" w:hAnsi="Times New Roman" w:eastAsia="仿宋_GB2312" w:cs="Times New Roman"/>
      <w:sz w:val="30"/>
      <w:szCs w:val="24"/>
    </w:rPr>
  </w:style>
  <w:style w:type="character" w:customStyle="1" w:styleId="21">
    <w:name w:val="页眉 字符"/>
    <w:qFormat/>
    <w:uiPriority w:val="0"/>
    <w:rPr>
      <w:kern w:val="2"/>
      <w:sz w:val="18"/>
      <w:szCs w:val="18"/>
    </w:rPr>
  </w:style>
  <w:style w:type="character" w:customStyle="1" w:styleId="22">
    <w:name w:val="正文文本缩进 3 Char"/>
    <w:basedOn w:val="12"/>
    <w:link w:val="9"/>
    <w:autoRedefine/>
    <w:qFormat/>
    <w:uiPriority w:val="99"/>
    <w:rPr>
      <w:rFonts w:ascii="Calibri" w:hAnsi="Calibri" w:eastAsia="宋体" w:cs="Times New Roman"/>
      <w:sz w:val="16"/>
      <w:szCs w:val="16"/>
    </w:rPr>
  </w:style>
  <w:style w:type="character" w:customStyle="1" w:styleId="23">
    <w:name w:val="批注框文本 Char"/>
    <w:basedOn w:val="12"/>
    <w:link w:val="6"/>
    <w:semiHidden/>
    <w:qFormat/>
    <w:uiPriority w:val="99"/>
    <w:rPr>
      <w:rFonts w:ascii="Calibri" w:hAnsi="Calibri" w:eastAsia="宋体" w:cs="Times New Roman"/>
      <w:sz w:val="18"/>
      <w:szCs w:val="18"/>
    </w:rPr>
  </w:style>
  <w:style w:type="paragraph" w:customStyle="1" w:styleId="24">
    <w:name w:val="列出段落2"/>
    <w:basedOn w:val="1"/>
    <w:qFormat/>
    <w:uiPriority w:val="34"/>
    <w:pPr>
      <w:ind w:firstLine="420" w:firstLineChars="200"/>
    </w:pPr>
  </w:style>
  <w:style w:type="character" w:customStyle="1" w:styleId="25">
    <w:name w:val="spanlink1"/>
    <w:basedOn w:val="12"/>
    <w:autoRedefine/>
    <w:qFormat/>
    <w:uiPriority w:val="0"/>
    <w:rPr>
      <w:rFonts w:hint="default" w:ascii="Arial" w:hAnsi="Arial" w:cs="Arial"/>
      <w:color w:val="00509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B138-213F-4979-A5F0-7252DDE44689}">
  <ds:schemaRefs/>
</ds:datastoreItem>
</file>

<file path=docProps/app.xml><?xml version="1.0" encoding="utf-8"?>
<Properties xmlns="http://schemas.openxmlformats.org/officeDocument/2006/extended-properties" xmlns:vt="http://schemas.openxmlformats.org/officeDocument/2006/docPropsVTypes">
  <Company>china</Company>
  <Pages>2</Pages>
  <Words>159</Words>
  <Characters>907</Characters>
  <Lines>7</Lines>
  <Paragraphs>2</Paragraphs>
  <TotalTime>2</TotalTime>
  <ScaleCrop>false</ScaleCrop>
  <LinksUpToDate>false</LinksUpToDate>
  <CharactersWithSpaces>1064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2024-04-15T15:03:00Z</dcterms:created>
  <dc:creator>Windows 用户</dc:creator>
  <cp:lastModifiedBy>Administrator</cp:lastModifiedBy>
  <cp:lastPrinted>2021-11-30T15:50:00Z</cp:lastPrinted>
  <dcterms:modified xsi:type="dcterms:W3CDTF">2025-03-27T00:54:34Z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AAEFFA60B45140229E5794F4B51F3561_13</vt:lpwstr>
  </property>
</Properties>
</file>