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15096" w:type="dxa"/>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526"/>
        <w:gridCol w:w="850"/>
        <w:gridCol w:w="1134"/>
        <w:gridCol w:w="3118"/>
        <w:gridCol w:w="1134"/>
        <w:gridCol w:w="964"/>
        <w:gridCol w:w="3685"/>
        <w:gridCol w:w="3118"/>
        <w:gridCol w:w="567"/>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atLeast"/>
          <w:tblHeader/>
        </w:trPr>
        <w:tc>
          <w:tcPr>
            <w:tcW w:w="526"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snapToGrid/>
              <w:spacing w:beforeLines="0" w:afterLines="0" w:line="240" w:lineRule="exact"/>
              <w:jc w:val="center"/>
              <w:textAlignment w:val="auto"/>
              <w:rPr>
                <w:rFonts w:hint="eastAsia" w:ascii="黑体" w:hAnsi="黑体" w:eastAsia="黑体" w:cs="黑体"/>
                <w:color w:val="000000"/>
                <w:sz w:val="24"/>
                <w:szCs w:val="24"/>
              </w:rPr>
            </w:pPr>
            <w:r>
              <w:rPr>
                <w:rFonts w:hint="eastAsia" w:ascii="黑体" w:hAnsi="黑体" w:eastAsia="黑体" w:cs="黑体"/>
                <w:color w:val="000000"/>
                <w:sz w:val="24"/>
                <w:szCs w:val="24"/>
              </w:rPr>
              <w:t>序号</w:t>
            </w:r>
          </w:p>
        </w:tc>
        <w:tc>
          <w:tcPr>
            <w:tcW w:w="850"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snapToGrid/>
              <w:spacing w:beforeLines="0" w:afterLines="0" w:line="240" w:lineRule="exact"/>
              <w:jc w:val="center"/>
              <w:textAlignment w:val="auto"/>
              <w:rPr>
                <w:rFonts w:hint="eastAsia" w:ascii="黑体" w:hAnsi="黑体" w:eastAsia="黑体" w:cs="黑体"/>
                <w:color w:val="000000"/>
                <w:sz w:val="24"/>
                <w:szCs w:val="24"/>
              </w:rPr>
            </w:pPr>
            <w:r>
              <w:rPr>
                <w:rFonts w:hint="eastAsia" w:ascii="黑体" w:hAnsi="黑体" w:eastAsia="黑体" w:cs="黑体"/>
                <w:color w:val="000000"/>
                <w:sz w:val="24"/>
                <w:szCs w:val="24"/>
              </w:rPr>
              <w:t>权力</w:t>
            </w:r>
          </w:p>
          <w:p>
            <w:pPr>
              <w:keepNext w:val="0"/>
              <w:keepLines w:val="0"/>
              <w:pageBreakBefore w:val="0"/>
              <w:widowControl/>
              <w:kinsoku/>
              <w:wordWrap/>
              <w:overflowPunct/>
              <w:topLinePunct w:val="0"/>
              <w:autoSpaceDE/>
              <w:autoSpaceDN/>
              <w:bidi w:val="0"/>
              <w:adjustRightInd/>
              <w:snapToGrid/>
              <w:spacing w:beforeLines="0" w:afterLines="0" w:line="240" w:lineRule="exact"/>
              <w:jc w:val="center"/>
              <w:textAlignment w:val="auto"/>
              <w:rPr>
                <w:rFonts w:hint="eastAsia" w:ascii="黑体" w:hAnsi="黑体" w:eastAsia="黑体" w:cs="黑体"/>
                <w:color w:val="000000"/>
                <w:sz w:val="24"/>
                <w:szCs w:val="24"/>
              </w:rPr>
            </w:pPr>
            <w:r>
              <w:rPr>
                <w:rFonts w:hint="eastAsia" w:ascii="黑体" w:hAnsi="黑体" w:eastAsia="黑体" w:cs="黑体"/>
                <w:color w:val="000000"/>
                <w:sz w:val="24"/>
                <w:szCs w:val="24"/>
              </w:rPr>
              <w:t>类型</w:t>
            </w:r>
          </w:p>
        </w:tc>
        <w:tc>
          <w:tcPr>
            <w:tcW w:w="1134"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beforeLines="0" w:afterLines="0" w:line="240" w:lineRule="exact"/>
              <w:jc w:val="center"/>
              <w:textAlignment w:val="auto"/>
              <w:rPr>
                <w:rFonts w:hint="eastAsia" w:ascii="黑体" w:hAnsi="黑体" w:eastAsia="黑体" w:cs="黑体"/>
                <w:color w:val="000000"/>
                <w:sz w:val="24"/>
                <w:szCs w:val="24"/>
              </w:rPr>
            </w:pPr>
            <w:r>
              <w:rPr>
                <w:rFonts w:hint="eastAsia" w:ascii="黑体" w:hAnsi="黑体" w:eastAsia="黑体" w:cs="黑体"/>
                <w:color w:val="000000"/>
                <w:sz w:val="24"/>
                <w:szCs w:val="24"/>
              </w:rPr>
              <w:t>权力</w:t>
            </w:r>
          </w:p>
          <w:p>
            <w:pPr>
              <w:keepNext w:val="0"/>
              <w:keepLines w:val="0"/>
              <w:pageBreakBefore w:val="0"/>
              <w:widowControl/>
              <w:kinsoku/>
              <w:wordWrap/>
              <w:overflowPunct/>
              <w:topLinePunct w:val="0"/>
              <w:autoSpaceDE/>
              <w:autoSpaceDN/>
              <w:bidi w:val="0"/>
              <w:adjustRightInd/>
              <w:snapToGrid/>
              <w:spacing w:beforeLines="0" w:afterLines="0" w:line="240" w:lineRule="exact"/>
              <w:jc w:val="center"/>
              <w:textAlignment w:val="auto"/>
              <w:rPr>
                <w:rFonts w:hint="eastAsia" w:ascii="黑体" w:hAnsi="黑体" w:eastAsia="黑体" w:cs="黑体"/>
                <w:color w:val="000000"/>
                <w:sz w:val="24"/>
                <w:szCs w:val="24"/>
              </w:rPr>
            </w:pPr>
            <w:r>
              <w:rPr>
                <w:rFonts w:hint="eastAsia" w:ascii="黑体" w:hAnsi="黑体" w:eastAsia="黑体" w:cs="黑体"/>
                <w:color w:val="000000"/>
                <w:sz w:val="24"/>
                <w:szCs w:val="24"/>
              </w:rPr>
              <w:t>事项</w:t>
            </w:r>
          </w:p>
        </w:tc>
        <w:tc>
          <w:tcPr>
            <w:tcW w:w="3118"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beforeLines="0" w:afterLines="0" w:line="240" w:lineRule="exact"/>
              <w:jc w:val="center"/>
              <w:textAlignment w:val="auto"/>
              <w:rPr>
                <w:rFonts w:hint="eastAsia" w:ascii="黑体" w:hAnsi="黑体" w:eastAsia="黑体" w:cs="黑体"/>
                <w:color w:val="000000"/>
                <w:sz w:val="24"/>
                <w:szCs w:val="24"/>
              </w:rPr>
            </w:pPr>
            <w:r>
              <w:rPr>
                <w:rFonts w:hint="eastAsia" w:ascii="黑体" w:hAnsi="黑体" w:eastAsia="黑体" w:cs="黑体"/>
                <w:color w:val="000000"/>
                <w:sz w:val="24"/>
                <w:szCs w:val="24"/>
              </w:rPr>
              <w:t>实施依据</w:t>
            </w:r>
          </w:p>
        </w:tc>
        <w:tc>
          <w:tcPr>
            <w:tcW w:w="1134"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snapToGrid/>
              <w:spacing w:beforeLines="0" w:afterLines="0" w:line="240" w:lineRule="exact"/>
              <w:jc w:val="center"/>
              <w:textAlignment w:val="auto"/>
              <w:rPr>
                <w:rFonts w:hint="eastAsia" w:ascii="黑体" w:hAnsi="黑体" w:eastAsia="黑体" w:cs="黑体"/>
                <w:color w:val="000000"/>
                <w:sz w:val="24"/>
                <w:szCs w:val="24"/>
              </w:rPr>
            </w:pPr>
            <w:r>
              <w:rPr>
                <w:rFonts w:hint="eastAsia" w:ascii="黑体" w:hAnsi="黑体" w:eastAsia="黑体" w:cs="黑体"/>
                <w:color w:val="000000"/>
                <w:sz w:val="24"/>
                <w:szCs w:val="24"/>
              </w:rPr>
              <w:t>省级</w:t>
            </w:r>
          </w:p>
          <w:p>
            <w:pPr>
              <w:keepNext w:val="0"/>
              <w:keepLines w:val="0"/>
              <w:pageBreakBefore w:val="0"/>
              <w:widowControl/>
              <w:kinsoku/>
              <w:wordWrap/>
              <w:overflowPunct/>
              <w:topLinePunct w:val="0"/>
              <w:autoSpaceDE/>
              <w:autoSpaceDN/>
              <w:bidi w:val="0"/>
              <w:adjustRightInd/>
              <w:snapToGrid/>
              <w:spacing w:beforeLines="0" w:afterLines="0" w:line="240" w:lineRule="exact"/>
              <w:jc w:val="center"/>
              <w:textAlignment w:val="auto"/>
              <w:rPr>
                <w:rFonts w:hint="eastAsia" w:ascii="黑体" w:hAnsi="黑体" w:eastAsia="黑体" w:cs="黑体"/>
                <w:color w:val="000000"/>
                <w:sz w:val="24"/>
                <w:szCs w:val="24"/>
              </w:rPr>
            </w:pPr>
            <w:r>
              <w:rPr>
                <w:rFonts w:hint="eastAsia" w:ascii="黑体" w:hAnsi="黑体" w:eastAsia="黑体" w:cs="黑体"/>
                <w:color w:val="000000"/>
                <w:sz w:val="24"/>
                <w:szCs w:val="24"/>
              </w:rPr>
              <w:t>主管部门</w:t>
            </w:r>
          </w:p>
        </w:tc>
        <w:tc>
          <w:tcPr>
            <w:tcW w:w="964"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snapToGrid/>
              <w:spacing w:beforeLines="0" w:afterLines="0" w:line="240" w:lineRule="exact"/>
              <w:jc w:val="center"/>
              <w:textAlignment w:val="auto"/>
              <w:rPr>
                <w:rFonts w:hint="eastAsia" w:ascii="黑体" w:hAnsi="黑体" w:eastAsia="黑体" w:cs="黑体"/>
                <w:color w:val="000000"/>
                <w:sz w:val="24"/>
                <w:szCs w:val="24"/>
              </w:rPr>
            </w:pPr>
            <w:r>
              <w:rPr>
                <w:rFonts w:hint="eastAsia" w:ascii="黑体" w:hAnsi="黑体" w:eastAsia="黑体" w:cs="黑体"/>
                <w:color w:val="000000"/>
                <w:sz w:val="24"/>
                <w:szCs w:val="24"/>
              </w:rPr>
              <w:t>实施</w:t>
            </w:r>
          </w:p>
          <w:p>
            <w:pPr>
              <w:keepNext w:val="0"/>
              <w:keepLines w:val="0"/>
              <w:pageBreakBefore w:val="0"/>
              <w:widowControl/>
              <w:kinsoku/>
              <w:wordWrap/>
              <w:overflowPunct/>
              <w:topLinePunct w:val="0"/>
              <w:autoSpaceDE/>
              <w:autoSpaceDN/>
              <w:bidi w:val="0"/>
              <w:adjustRightInd/>
              <w:snapToGrid/>
              <w:spacing w:beforeLines="0" w:afterLines="0" w:line="240" w:lineRule="exact"/>
              <w:jc w:val="center"/>
              <w:textAlignment w:val="auto"/>
              <w:rPr>
                <w:rFonts w:hint="eastAsia" w:ascii="黑体" w:hAnsi="黑体" w:eastAsia="黑体" w:cs="黑体"/>
                <w:color w:val="000000"/>
                <w:sz w:val="24"/>
                <w:szCs w:val="24"/>
              </w:rPr>
            </w:pPr>
            <w:r>
              <w:rPr>
                <w:rFonts w:hint="eastAsia" w:ascii="黑体" w:hAnsi="黑体" w:eastAsia="黑体" w:cs="黑体"/>
                <w:color w:val="000000"/>
                <w:sz w:val="24"/>
                <w:szCs w:val="24"/>
              </w:rPr>
              <w:t>层级</w:t>
            </w:r>
          </w:p>
        </w:tc>
        <w:tc>
          <w:tcPr>
            <w:tcW w:w="3685"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beforeLines="0" w:afterLines="0" w:line="240" w:lineRule="exact"/>
              <w:jc w:val="center"/>
              <w:textAlignment w:val="auto"/>
              <w:rPr>
                <w:rFonts w:hint="eastAsia" w:ascii="黑体" w:hAnsi="黑体" w:eastAsia="黑体" w:cs="黑体"/>
                <w:color w:val="000000"/>
                <w:sz w:val="24"/>
                <w:szCs w:val="24"/>
              </w:rPr>
            </w:pPr>
            <w:r>
              <w:rPr>
                <w:rFonts w:hint="eastAsia" w:ascii="黑体" w:hAnsi="黑体" w:eastAsia="黑体" w:cs="黑体"/>
                <w:color w:val="000000"/>
                <w:sz w:val="24"/>
                <w:szCs w:val="24"/>
              </w:rPr>
              <w:t>责任事项</w:t>
            </w:r>
          </w:p>
        </w:tc>
        <w:tc>
          <w:tcPr>
            <w:tcW w:w="3118"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beforeLines="0" w:afterLines="0" w:line="240" w:lineRule="exact"/>
              <w:jc w:val="center"/>
              <w:textAlignment w:val="auto"/>
              <w:rPr>
                <w:rFonts w:hint="eastAsia" w:ascii="黑体" w:hAnsi="黑体" w:eastAsia="黑体" w:cs="黑体"/>
                <w:color w:val="000000"/>
                <w:sz w:val="24"/>
                <w:szCs w:val="24"/>
              </w:rPr>
            </w:pPr>
            <w:r>
              <w:rPr>
                <w:rFonts w:hint="eastAsia" w:ascii="黑体" w:hAnsi="黑体" w:eastAsia="黑体" w:cs="黑体"/>
                <w:color w:val="000000"/>
                <w:sz w:val="24"/>
                <w:szCs w:val="24"/>
              </w:rPr>
              <w:t>追责情形</w:t>
            </w:r>
          </w:p>
        </w:tc>
        <w:tc>
          <w:tcPr>
            <w:tcW w:w="567"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snapToGrid/>
              <w:spacing w:beforeLines="0" w:afterLines="0" w:line="240" w:lineRule="exact"/>
              <w:jc w:val="center"/>
              <w:textAlignment w:val="auto"/>
              <w:rPr>
                <w:rFonts w:hint="eastAsia" w:ascii="黑体" w:hAnsi="黑体" w:eastAsia="黑体" w:cs="黑体"/>
                <w:color w:val="000000"/>
                <w:sz w:val="24"/>
                <w:szCs w:val="24"/>
              </w:rPr>
            </w:pPr>
            <w:r>
              <w:rPr>
                <w:rFonts w:hint="eastAsia" w:ascii="黑体" w:hAnsi="黑体" w:eastAsia="黑体" w:cs="黑体"/>
                <w:color w:val="000000"/>
                <w:sz w:val="24"/>
                <w:szCs w:val="24"/>
              </w:rPr>
              <w:t>备注</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8957" w:hRule="atLeast"/>
        </w:trPr>
        <w:tc>
          <w:tcPr>
            <w:tcW w:w="526"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beforeLines="0" w:afterLines="0" w:line="240" w:lineRule="exact"/>
              <w:jc w:val="center"/>
              <w:textAlignment w:val="auto"/>
              <w:rPr>
                <w:rFonts w:hint="eastAsia" w:ascii="仿宋_GB2312" w:hAnsi="仿宋_GB2312" w:eastAsia="仿宋_GB2312" w:cs="仿宋_GB2312"/>
                <w:color w:val="000000"/>
                <w:sz w:val="18"/>
                <w:szCs w:val="18"/>
                <w:lang w:eastAsia="zh-CN"/>
              </w:rPr>
            </w:pPr>
            <w:r>
              <w:rPr>
                <w:rFonts w:hint="eastAsia" w:ascii="仿宋_GB2312" w:hAnsi="仿宋_GB2312" w:eastAsia="仿宋_GB2312" w:cs="仿宋_GB2312"/>
                <w:color w:val="000000"/>
                <w:sz w:val="18"/>
                <w:szCs w:val="18"/>
                <w:lang w:val="en-US" w:eastAsia="zh-CN"/>
              </w:rPr>
              <w:t>1</w:t>
            </w:r>
          </w:p>
        </w:tc>
        <w:tc>
          <w:tcPr>
            <w:tcW w:w="850"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snapToGrid/>
              <w:spacing w:beforeLines="0" w:afterLines="0" w:line="240" w:lineRule="exact"/>
              <w:jc w:val="center"/>
              <w:textAlignment w:val="auto"/>
              <w:rPr>
                <w:rFonts w:hint="eastAsia" w:ascii="仿宋_GB2312" w:hAnsi="仿宋_GB2312" w:eastAsia="仿宋_GB2312" w:cs="仿宋_GB2312"/>
                <w:color w:val="000000"/>
                <w:sz w:val="18"/>
                <w:szCs w:val="18"/>
                <w:lang w:eastAsia="zh-CN"/>
              </w:rPr>
            </w:pPr>
            <w:r>
              <w:rPr>
                <w:rFonts w:hint="eastAsia" w:ascii="仿宋_GB2312" w:hAnsi="仿宋_GB2312" w:eastAsia="仿宋_GB2312" w:cs="仿宋_GB2312"/>
                <w:color w:val="000000"/>
                <w:sz w:val="18"/>
                <w:szCs w:val="18"/>
                <w:lang w:eastAsia="zh-CN"/>
              </w:rPr>
              <w:t>行政备案</w:t>
            </w:r>
          </w:p>
        </w:tc>
        <w:tc>
          <w:tcPr>
            <w:tcW w:w="1134"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beforeLines="0" w:afterLines="0" w:line="240" w:lineRule="exact"/>
              <w:jc w:val="both"/>
              <w:textAlignment w:val="auto"/>
              <w:rPr>
                <w:rFonts w:hint="eastAsia"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外商投资企业备案</w:t>
            </w:r>
          </w:p>
        </w:tc>
        <w:tc>
          <w:tcPr>
            <w:tcW w:w="3118"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beforeLines="0" w:afterLines="0" w:line="240" w:lineRule="exact"/>
              <w:jc w:val="both"/>
              <w:textAlignment w:val="auto"/>
              <w:rPr>
                <w:rFonts w:hint="eastAsia"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《中华人民共和国市场主体登记管理条例》（中华人民共和国国务院令第746号，2021.07.27发布，2022.03.01实施）第九条“市场主体的下列事项应当向登记机关办理备案：</w:t>
            </w:r>
          </w:p>
          <w:p>
            <w:pPr>
              <w:keepNext w:val="0"/>
              <w:keepLines w:val="0"/>
              <w:pageBreakBefore w:val="0"/>
              <w:widowControl/>
              <w:kinsoku/>
              <w:wordWrap/>
              <w:overflowPunct/>
              <w:topLinePunct w:val="0"/>
              <w:autoSpaceDE/>
              <w:autoSpaceDN/>
              <w:bidi w:val="0"/>
              <w:adjustRightInd/>
              <w:snapToGrid/>
              <w:spacing w:beforeLines="0" w:afterLines="0" w:line="240" w:lineRule="exact"/>
              <w:jc w:val="both"/>
              <w:textAlignment w:val="auto"/>
              <w:rPr>
                <w:rFonts w:hint="eastAsia"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（一）章程或者合伙协议；</w:t>
            </w:r>
          </w:p>
          <w:p>
            <w:pPr>
              <w:keepNext w:val="0"/>
              <w:keepLines w:val="0"/>
              <w:pageBreakBefore w:val="0"/>
              <w:widowControl/>
              <w:kinsoku/>
              <w:wordWrap/>
              <w:overflowPunct/>
              <w:topLinePunct w:val="0"/>
              <w:autoSpaceDE/>
              <w:autoSpaceDN/>
              <w:bidi w:val="0"/>
              <w:adjustRightInd/>
              <w:snapToGrid/>
              <w:spacing w:beforeLines="0" w:afterLines="0" w:line="240" w:lineRule="exact"/>
              <w:jc w:val="both"/>
              <w:textAlignment w:val="auto"/>
              <w:rPr>
                <w:rFonts w:hint="eastAsia"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（二）经营期限或者合伙期限；</w:t>
            </w:r>
          </w:p>
          <w:p>
            <w:pPr>
              <w:keepNext w:val="0"/>
              <w:keepLines w:val="0"/>
              <w:pageBreakBefore w:val="0"/>
              <w:widowControl/>
              <w:kinsoku/>
              <w:wordWrap/>
              <w:overflowPunct/>
              <w:topLinePunct w:val="0"/>
              <w:autoSpaceDE/>
              <w:autoSpaceDN/>
              <w:bidi w:val="0"/>
              <w:adjustRightInd/>
              <w:snapToGrid/>
              <w:spacing w:beforeLines="0" w:afterLines="0" w:line="240" w:lineRule="exact"/>
              <w:jc w:val="both"/>
              <w:textAlignment w:val="auto"/>
              <w:rPr>
                <w:rFonts w:hint="eastAsia"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（三）有限责任公司股东或者股份有限公司发起人认缴的出资数额，合伙企业合伙人认缴或者实际缴付的出资数额、缴付期限和出资方式；</w:t>
            </w:r>
          </w:p>
          <w:p>
            <w:pPr>
              <w:keepNext w:val="0"/>
              <w:keepLines w:val="0"/>
              <w:pageBreakBefore w:val="0"/>
              <w:widowControl/>
              <w:kinsoku/>
              <w:wordWrap/>
              <w:overflowPunct/>
              <w:topLinePunct w:val="0"/>
              <w:autoSpaceDE/>
              <w:autoSpaceDN/>
              <w:bidi w:val="0"/>
              <w:adjustRightInd/>
              <w:snapToGrid/>
              <w:spacing w:beforeLines="0" w:afterLines="0" w:line="240" w:lineRule="exact"/>
              <w:jc w:val="both"/>
              <w:textAlignment w:val="auto"/>
              <w:rPr>
                <w:rFonts w:hint="eastAsia"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（四）公司董事、监事、高级管理人员；</w:t>
            </w:r>
            <w:bookmarkStart w:id="0" w:name="_GoBack"/>
            <w:bookmarkEnd w:id="0"/>
          </w:p>
          <w:p>
            <w:pPr>
              <w:keepNext w:val="0"/>
              <w:keepLines w:val="0"/>
              <w:pageBreakBefore w:val="0"/>
              <w:widowControl/>
              <w:kinsoku/>
              <w:wordWrap/>
              <w:overflowPunct/>
              <w:topLinePunct w:val="0"/>
              <w:autoSpaceDE/>
              <w:autoSpaceDN/>
              <w:bidi w:val="0"/>
              <w:adjustRightInd/>
              <w:snapToGrid/>
              <w:spacing w:beforeLines="0" w:afterLines="0" w:line="240" w:lineRule="exact"/>
              <w:jc w:val="both"/>
              <w:textAlignment w:val="auto"/>
              <w:rPr>
                <w:rFonts w:hint="eastAsia"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（五）农民专业合作社（联合社）成员；</w:t>
            </w:r>
          </w:p>
          <w:p>
            <w:pPr>
              <w:keepNext w:val="0"/>
              <w:keepLines w:val="0"/>
              <w:pageBreakBefore w:val="0"/>
              <w:widowControl/>
              <w:kinsoku/>
              <w:wordWrap/>
              <w:overflowPunct/>
              <w:topLinePunct w:val="0"/>
              <w:autoSpaceDE/>
              <w:autoSpaceDN/>
              <w:bidi w:val="0"/>
              <w:adjustRightInd/>
              <w:snapToGrid/>
              <w:spacing w:beforeLines="0" w:afterLines="0" w:line="240" w:lineRule="exact"/>
              <w:jc w:val="both"/>
              <w:textAlignment w:val="auto"/>
              <w:rPr>
                <w:rFonts w:hint="eastAsia"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（六）参加经营的个体工商户家庭成员姓名；</w:t>
            </w:r>
          </w:p>
          <w:p>
            <w:pPr>
              <w:keepNext w:val="0"/>
              <w:keepLines w:val="0"/>
              <w:pageBreakBefore w:val="0"/>
              <w:widowControl/>
              <w:kinsoku/>
              <w:wordWrap/>
              <w:overflowPunct/>
              <w:topLinePunct w:val="0"/>
              <w:autoSpaceDE/>
              <w:autoSpaceDN/>
              <w:bidi w:val="0"/>
              <w:adjustRightInd/>
              <w:snapToGrid/>
              <w:spacing w:beforeLines="0" w:afterLines="0" w:line="240" w:lineRule="exact"/>
              <w:jc w:val="both"/>
              <w:textAlignment w:val="auto"/>
              <w:rPr>
                <w:rFonts w:hint="eastAsia"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（七）市场主体登记联络员、外商投资企业法律文件送达接受人；</w:t>
            </w:r>
          </w:p>
          <w:p>
            <w:pPr>
              <w:keepNext w:val="0"/>
              <w:keepLines w:val="0"/>
              <w:pageBreakBefore w:val="0"/>
              <w:widowControl/>
              <w:kinsoku/>
              <w:wordWrap/>
              <w:overflowPunct/>
              <w:topLinePunct w:val="0"/>
              <w:autoSpaceDE/>
              <w:autoSpaceDN/>
              <w:bidi w:val="0"/>
              <w:adjustRightInd/>
              <w:snapToGrid/>
              <w:spacing w:beforeLines="0" w:afterLines="0" w:line="240" w:lineRule="exact"/>
              <w:jc w:val="both"/>
              <w:textAlignment w:val="auto"/>
              <w:rPr>
                <w:rFonts w:hint="eastAsia"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（八）公司、合伙企业等市场主体受益所有人相关信息；</w:t>
            </w:r>
          </w:p>
          <w:p>
            <w:pPr>
              <w:keepNext w:val="0"/>
              <w:keepLines w:val="0"/>
              <w:pageBreakBefore w:val="0"/>
              <w:widowControl/>
              <w:kinsoku/>
              <w:wordWrap/>
              <w:overflowPunct/>
              <w:topLinePunct w:val="0"/>
              <w:autoSpaceDE/>
              <w:autoSpaceDN/>
              <w:bidi w:val="0"/>
              <w:adjustRightInd/>
              <w:snapToGrid/>
              <w:spacing w:beforeLines="0" w:afterLines="0" w:line="240" w:lineRule="exact"/>
              <w:jc w:val="both"/>
              <w:textAlignment w:val="auto"/>
              <w:rPr>
                <w:rFonts w:hint="eastAsia"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（九）法律、行政法规规定的其他事项。”</w:t>
            </w:r>
          </w:p>
        </w:tc>
        <w:tc>
          <w:tcPr>
            <w:tcW w:w="1134" w:type="dxa"/>
            <w:tcBorders>
              <w:tl2br w:val="nil"/>
              <w:tr2bl w:val="nil"/>
            </w:tcBorders>
            <w:tcMar>
              <w:left w:w="0" w:type="dxa"/>
              <w:right w:w="0" w:type="dxa"/>
            </w:tcMar>
            <w:vAlign w:val="center"/>
          </w:tcPr>
          <w:p>
            <w:pPr>
              <w:keepNext w:val="0"/>
              <w:keepLines w:val="0"/>
              <w:pageBreakBefore w:val="0"/>
              <w:widowControl/>
              <w:kinsoku/>
              <w:wordWrap/>
              <w:overflowPunct/>
              <w:topLinePunct w:val="0"/>
              <w:autoSpaceDE/>
              <w:autoSpaceDN/>
              <w:bidi w:val="0"/>
              <w:adjustRightInd/>
              <w:snapToGrid/>
              <w:spacing w:beforeLines="0" w:afterLines="0" w:line="240" w:lineRule="exact"/>
              <w:jc w:val="center"/>
              <w:textAlignment w:val="auto"/>
              <w:rPr>
                <w:rFonts w:hint="eastAsia"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河北省市场监督管理局</w:t>
            </w:r>
          </w:p>
        </w:tc>
        <w:tc>
          <w:tcPr>
            <w:tcW w:w="964"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snapToGrid/>
              <w:spacing w:beforeLines="0" w:afterLines="0" w:line="240" w:lineRule="exact"/>
              <w:jc w:val="both"/>
              <w:textAlignment w:val="auto"/>
              <w:rPr>
                <w:rFonts w:hint="eastAsia"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市级、授权的县区局</w:t>
            </w:r>
          </w:p>
        </w:tc>
        <w:tc>
          <w:tcPr>
            <w:tcW w:w="3685"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beforeLines="0" w:afterLines="0" w:line="240" w:lineRule="exact"/>
              <w:jc w:val="both"/>
              <w:textAlignment w:val="auto"/>
              <w:rPr>
                <w:rFonts w:hint="eastAsia"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1.备案责任：市场监督管理局工作人员按照有关法律、法规规章的规定，对企业（外资）进行备案。</w:t>
            </w:r>
          </w:p>
          <w:p>
            <w:pPr>
              <w:keepNext w:val="0"/>
              <w:keepLines w:val="0"/>
              <w:pageBreakBefore w:val="0"/>
              <w:widowControl/>
              <w:kinsoku/>
              <w:wordWrap/>
              <w:overflowPunct/>
              <w:topLinePunct w:val="0"/>
              <w:autoSpaceDE/>
              <w:autoSpaceDN/>
              <w:bidi w:val="0"/>
              <w:adjustRightInd/>
              <w:snapToGrid/>
              <w:spacing w:beforeLines="0" w:afterLines="0" w:line="240" w:lineRule="exact"/>
              <w:jc w:val="both"/>
              <w:textAlignment w:val="auto"/>
              <w:rPr>
                <w:rFonts w:hint="eastAsia"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2.公示责任：将公司（外资）登记、备案信息通过企业信用信息公示系统向社会公示。将合伙企业登记、备案信息通过企业信用信息公示系统向社会公示。</w:t>
            </w:r>
          </w:p>
        </w:tc>
        <w:tc>
          <w:tcPr>
            <w:tcW w:w="3118"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beforeLines="0" w:afterLines="0" w:line="240" w:lineRule="exact"/>
              <w:jc w:val="both"/>
              <w:textAlignment w:val="auto"/>
              <w:rPr>
                <w:rFonts w:hint="eastAsia"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秦皇岛市市场监督管理局在外资企业登记备案过程中有违法行为的，依法责令改正；有关工作人员应当承担责任的，依法给予行政处分。</w:t>
            </w:r>
          </w:p>
        </w:tc>
        <w:tc>
          <w:tcPr>
            <w:tcW w:w="567"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beforeLines="0" w:afterLines="0" w:line="240" w:lineRule="exact"/>
              <w:jc w:val="both"/>
              <w:textAlignment w:val="auto"/>
              <w:rPr>
                <w:rFonts w:hint="eastAsia" w:ascii="仿宋_GB2312" w:hAnsi="仿宋_GB2312" w:eastAsia="仿宋_GB2312" w:cs="仿宋_GB2312"/>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8957" w:hRule="atLeast"/>
        </w:trPr>
        <w:tc>
          <w:tcPr>
            <w:tcW w:w="526"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beforeLines="0" w:afterLines="0" w:line="240" w:lineRule="exact"/>
              <w:jc w:val="center"/>
              <w:textAlignment w:val="auto"/>
              <w:rPr>
                <w:rFonts w:hint="eastAsia" w:ascii="仿宋_GB2312" w:hAnsi="仿宋_GB2312" w:eastAsia="仿宋_GB2312" w:cs="仿宋_GB2312"/>
                <w:color w:val="000000"/>
                <w:sz w:val="18"/>
                <w:szCs w:val="18"/>
                <w:lang w:eastAsia="zh-CN"/>
              </w:rPr>
            </w:pPr>
            <w:r>
              <w:rPr>
                <w:rFonts w:hint="eastAsia" w:ascii="仿宋_GB2312" w:hAnsi="仿宋_GB2312" w:eastAsia="仿宋_GB2312" w:cs="仿宋_GB2312"/>
                <w:color w:val="000000"/>
                <w:sz w:val="18"/>
                <w:szCs w:val="18"/>
                <w:lang w:val="en-US" w:eastAsia="zh-CN"/>
              </w:rPr>
              <w:t>2</w:t>
            </w:r>
          </w:p>
        </w:tc>
        <w:tc>
          <w:tcPr>
            <w:tcW w:w="850"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snapToGrid/>
              <w:spacing w:beforeLines="0" w:afterLines="0" w:line="240" w:lineRule="exact"/>
              <w:jc w:val="center"/>
              <w:textAlignment w:val="auto"/>
              <w:rPr>
                <w:rFonts w:hint="eastAsia" w:ascii="仿宋_GB2312" w:hAnsi="仿宋_GB2312" w:eastAsia="仿宋_GB2312" w:cs="仿宋_GB2312"/>
                <w:color w:val="000000"/>
                <w:sz w:val="18"/>
                <w:szCs w:val="18"/>
                <w:lang w:eastAsia="zh-CN"/>
              </w:rPr>
            </w:pPr>
            <w:r>
              <w:rPr>
                <w:rFonts w:hint="eastAsia" w:ascii="仿宋_GB2312" w:hAnsi="仿宋_GB2312" w:eastAsia="仿宋_GB2312" w:cs="仿宋_GB2312"/>
                <w:color w:val="000000"/>
                <w:sz w:val="18"/>
                <w:szCs w:val="18"/>
                <w:lang w:eastAsia="zh-CN"/>
              </w:rPr>
              <w:t>行政备案</w:t>
            </w:r>
          </w:p>
        </w:tc>
        <w:tc>
          <w:tcPr>
            <w:tcW w:w="1134"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beforeLines="0" w:afterLines="0" w:line="240" w:lineRule="exact"/>
              <w:jc w:val="both"/>
              <w:textAlignment w:val="auto"/>
              <w:rPr>
                <w:rFonts w:hint="eastAsia"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国产非特殊用途化妆品备案</w:t>
            </w:r>
          </w:p>
        </w:tc>
        <w:tc>
          <w:tcPr>
            <w:tcW w:w="3118"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beforeLines="0" w:afterLines="0" w:line="240" w:lineRule="exact"/>
              <w:jc w:val="both"/>
              <w:textAlignment w:val="auto"/>
              <w:rPr>
                <w:rFonts w:hint="eastAsia"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1.《化妆品监督管理条例》（国务院令第727号，2021年1月1日起实施）第四条“国家按照风险程度对化妆品、化妆品原料实行分类管理。</w:t>
            </w:r>
          </w:p>
          <w:p>
            <w:pPr>
              <w:keepNext w:val="0"/>
              <w:keepLines w:val="0"/>
              <w:pageBreakBefore w:val="0"/>
              <w:widowControl/>
              <w:kinsoku/>
              <w:wordWrap/>
              <w:overflowPunct/>
              <w:topLinePunct w:val="0"/>
              <w:autoSpaceDE/>
              <w:autoSpaceDN/>
              <w:bidi w:val="0"/>
              <w:adjustRightInd/>
              <w:snapToGrid/>
              <w:spacing w:beforeLines="0" w:afterLines="0" w:line="240" w:lineRule="exact"/>
              <w:jc w:val="both"/>
              <w:textAlignment w:val="auto"/>
              <w:rPr>
                <w:rFonts w:hint="eastAsia"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化妆品分为特殊化妆品和普通化妆品。国家对特殊化妆品实行注册管理，对普通化妆品实行备案管理。 ”</w:t>
            </w:r>
          </w:p>
          <w:p>
            <w:pPr>
              <w:keepNext w:val="0"/>
              <w:keepLines w:val="0"/>
              <w:pageBreakBefore w:val="0"/>
              <w:widowControl/>
              <w:kinsoku/>
              <w:wordWrap/>
              <w:overflowPunct/>
              <w:topLinePunct w:val="0"/>
              <w:autoSpaceDE/>
              <w:autoSpaceDN/>
              <w:bidi w:val="0"/>
              <w:adjustRightInd/>
              <w:snapToGrid/>
              <w:spacing w:beforeLines="0" w:afterLines="0" w:line="240" w:lineRule="exact"/>
              <w:jc w:val="both"/>
              <w:textAlignment w:val="auto"/>
              <w:rPr>
                <w:rFonts w:hint="eastAsia"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 xml:space="preserve">2.《关于调整化妆品注册备案管理有关事宜的通告》（国家食品药品监督管理总局通告2013年第10号）第一部分：《国家食品药品监督管理总局关于调整化妆品注册备案管理有关事宜的通告》（2013年 第10号）：自2014年6月30日起，国产非特殊用途化妆品生产企业应当在产品上市前，按照《国产非特殊用途化妆品备案要求》（附件1），对产品信息进行网上备案。备案的产品信息经省级食品药品监管部门确认后在食品药品监管总局政务网站统一公布，供公众查询，省级食品药品监管部门不再发放国产非特殊用途化妆品备案凭证。省级食品药品监管部门应当在备案后3个月内组织开展对备案产品的检查，发现不符合要求的，责令改正；发现违法的，依法立案查处，并在产品备案信息相关栏目予以标注。未按要求履行国产非特殊用途化妆品上市前产品信息报备义务的，依照《化妆品卫生监督条例实施细则》第四十五条第七项相关规定处理。 </w:t>
            </w:r>
          </w:p>
          <w:p>
            <w:pPr>
              <w:keepNext w:val="0"/>
              <w:keepLines w:val="0"/>
              <w:pageBreakBefore w:val="0"/>
              <w:widowControl/>
              <w:kinsoku/>
              <w:wordWrap/>
              <w:overflowPunct/>
              <w:topLinePunct w:val="0"/>
              <w:autoSpaceDE/>
              <w:autoSpaceDN/>
              <w:bidi w:val="0"/>
              <w:adjustRightInd/>
              <w:snapToGrid/>
              <w:spacing w:beforeLines="0" w:afterLines="0" w:line="240" w:lineRule="exact"/>
              <w:jc w:val="both"/>
              <w:textAlignment w:val="auto"/>
              <w:rPr>
                <w:rFonts w:hint="eastAsia"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3.《河北省人民政府关于同意将部分省级药品监管行政权力事项委托市级实施的批复》（冀政字﹝2018﹞66号）第一部分。</w:t>
            </w:r>
          </w:p>
        </w:tc>
        <w:tc>
          <w:tcPr>
            <w:tcW w:w="1134" w:type="dxa"/>
            <w:tcBorders>
              <w:tl2br w:val="nil"/>
              <w:tr2bl w:val="nil"/>
            </w:tcBorders>
            <w:tcMar>
              <w:left w:w="0" w:type="dxa"/>
              <w:right w:w="0" w:type="dxa"/>
            </w:tcMar>
            <w:vAlign w:val="center"/>
          </w:tcPr>
          <w:p>
            <w:pPr>
              <w:keepNext w:val="0"/>
              <w:keepLines w:val="0"/>
              <w:pageBreakBefore w:val="0"/>
              <w:widowControl/>
              <w:kinsoku/>
              <w:wordWrap/>
              <w:overflowPunct/>
              <w:topLinePunct w:val="0"/>
              <w:autoSpaceDE/>
              <w:autoSpaceDN/>
              <w:bidi w:val="0"/>
              <w:adjustRightInd/>
              <w:snapToGrid/>
              <w:spacing w:beforeLines="0" w:afterLines="0" w:line="240" w:lineRule="exact"/>
              <w:jc w:val="center"/>
              <w:textAlignment w:val="auto"/>
              <w:rPr>
                <w:rFonts w:hint="eastAsia"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河北省市场监督管理局</w:t>
            </w:r>
          </w:p>
        </w:tc>
        <w:tc>
          <w:tcPr>
            <w:tcW w:w="964"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snapToGrid/>
              <w:spacing w:beforeLines="0" w:afterLines="0" w:line="240" w:lineRule="exact"/>
              <w:jc w:val="both"/>
              <w:textAlignment w:val="auto"/>
              <w:rPr>
                <w:rFonts w:hint="eastAsia"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市级</w:t>
            </w:r>
          </w:p>
        </w:tc>
        <w:tc>
          <w:tcPr>
            <w:tcW w:w="3685"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beforeLines="0" w:afterLines="0" w:line="240" w:lineRule="exact"/>
              <w:jc w:val="both"/>
              <w:textAlignment w:val="auto"/>
              <w:rPr>
                <w:rFonts w:hint="eastAsia"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1.受理责任：委托各市对辖区内国产非特殊用途化妆品生产企业提交的产品备案的信息进行初审、复核，由省药监局药品审评中心进行确认。确认后，在食品药品监管总局政务网站统一公布产品部分信息，供公众查询。</w:t>
            </w:r>
          </w:p>
          <w:p>
            <w:pPr>
              <w:keepNext w:val="0"/>
              <w:keepLines w:val="0"/>
              <w:pageBreakBefore w:val="0"/>
              <w:widowControl/>
              <w:kinsoku/>
              <w:wordWrap/>
              <w:overflowPunct/>
              <w:topLinePunct w:val="0"/>
              <w:autoSpaceDE/>
              <w:autoSpaceDN/>
              <w:bidi w:val="0"/>
              <w:adjustRightInd/>
              <w:snapToGrid/>
              <w:spacing w:beforeLines="0" w:afterLines="0" w:line="240" w:lineRule="exact"/>
              <w:jc w:val="both"/>
              <w:textAlignment w:val="auto"/>
              <w:rPr>
                <w:rFonts w:hint="eastAsia"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2.审查责任：对于不属于备案产品范围的、备案信息不齐全或不符合规定形式的，在5个工作日内告知企业并说明理由。在备案信息初审、复核、确认过程中发现产品存在明显违法情形的，对尚未上市销售的产品，应当责令改正；对已经上市销售的产品，应当依法予以查处，并在产品备案信息相关栏目予以标注。</w:t>
            </w:r>
          </w:p>
          <w:p>
            <w:pPr>
              <w:keepNext w:val="0"/>
              <w:keepLines w:val="0"/>
              <w:pageBreakBefore w:val="0"/>
              <w:widowControl/>
              <w:kinsoku/>
              <w:wordWrap/>
              <w:overflowPunct/>
              <w:topLinePunct w:val="0"/>
              <w:autoSpaceDE/>
              <w:autoSpaceDN/>
              <w:bidi w:val="0"/>
              <w:adjustRightInd/>
              <w:snapToGrid/>
              <w:spacing w:beforeLines="0" w:afterLines="0" w:line="240" w:lineRule="exact"/>
              <w:jc w:val="both"/>
              <w:textAlignment w:val="auto"/>
              <w:rPr>
                <w:rFonts w:hint="eastAsia"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3.事后管理责任：委托市级化妆品监管部门在备案后3个月内开展对备案产品的检查，发现不符合要求的，责令改正；发现违法的，依法立案查处，并在产品备案信息相关栏目予以标注。</w:t>
            </w:r>
          </w:p>
        </w:tc>
        <w:tc>
          <w:tcPr>
            <w:tcW w:w="3118"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beforeLines="0" w:afterLines="0" w:line="240" w:lineRule="exact"/>
              <w:jc w:val="both"/>
              <w:textAlignment w:val="auto"/>
              <w:rPr>
                <w:rFonts w:hint="eastAsia"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市级市场监管部门在国产非特殊用途化妆品备案过程中有违法行为的，依法责令改正；有关工作人员应当承担责任的，依法给予处分，造成严重后果，构成犯罪的，由司法机关依法追究刑事责任。</w:t>
            </w:r>
          </w:p>
        </w:tc>
        <w:tc>
          <w:tcPr>
            <w:tcW w:w="567" w:type="dxa"/>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beforeLines="0" w:afterLines="0" w:line="240" w:lineRule="exact"/>
              <w:jc w:val="both"/>
              <w:textAlignment w:val="auto"/>
              <w:rPr>
                <w:rFonts w:hint="eastAsia" w:ascii="仿宋_GB2312" w:hAnsi="仿宋_GB2312" w:eastAsia="仿宋_GB2312" w:cs="仿宋_GB2312"/>
                <w:color w:val="000000"/>
                <w:sz w:val="18"/>
                <w:szCs w:val="18"/>
              </w:rPr>
            </w:pPr>
          </w:p>
        </w:tc>
      </w:tr>
    </w:tbl>
    <w:p/>
    <w:sectPr>
      <w:pgSz w:w="16838" w:h="11906" w:orient="landscape"/>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CA31E5"/>
    <w:rsid w:val="0D514370"/>
    <w:rsid w:val="52CA31E5"/>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eastAsia="宋体"/>
      <w:kern w:val="2"/>
      <w:sz w:val="21"/>
      <w:szCs w:val="22"/>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Office_10.8.0.5838_F1E327BC-269C-435d-A152-05C5408002CA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2022-10-25T02:23:00Z</dcterms:created>
  <dc:creator>Administrator</dc:creator>
  <cp:lastModifiedBy>Administrator</cp:lastModifiedBy>
  <dcterms:modified xsi:type="dcterms:W3CDTF">2022-10-25T02:28:01Z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2052-10.8.0.5838</vt:lpwstr>
  </property>
</Properties>
</file>