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-193040</wp:posOffset>
                </wp:positionH>
                <wp:positionV relativeFrom="paragraph">
                  <wp:posOffset>542925</wp:posOffset>
                </wp:positionV>
                <wp:extent cx="5822314"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2314"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5.2pt,42.75pt" to="443.24997pt,42.7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hint="eastAsia"/>
          <w:b/>
          <w:sz w:val="44"/>
          <w:szCs w:val="44"/>
        </w:rPr>
        <w:t>低碳钢热轧圆盘条</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rPr>
          <w:rFonts w:ascii="宋体" w:hint="eastAsia"/>
          <w:b/>
          <w:sz w:val="28"/>
          <w:szCs w:val="28"/>
        </w:rPr>
      </w:pPr>
    </w:p>
    <w:p>
      <w:pPr>
        <w:rPr>
          <w:rFonts w:ascii="宋体" w:hint="eastAsia"/>
          <w:b/>
          <w:sz w:val="28"/>
          <w:szCs w:val="28"/>
        </w:rPr>
      </w:pPr>
    </w:p>
    <w:p>
      <w:pPr>
        <w:jc w:val="center"/>
        <w:rPr>
          <w:rFonts w:ascii="宋体" w:hint="eastAsia"/>
          <w:b/>
          <w:sz w:val="32"/>
          <w:szCs w:val="32"/>
        </w:rPr>
      </w:pPr>
    </w:p>
    <w:p>
      <w:pPr>
        <w:jc w:val="cente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bookmarkStart w:id="0" w:name="_GoBack"/>
      <w:bookmarkEnd w:id="0"/>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p>
    <w:p>
      <w:pPr>
        <w:pStyle w:val="1"/>
        <w:spacing w:afterLines="0" w:after="156"/>
        <w:ind w:firstLineChars="0" w:firstLine="0"/>
        <w:rPr>
          <w:rFonts w:hint="eastAsia"/>
          <w:lang w:eastAsia="zh-CN"/>
        </w:rPr>
      </w:pPr>
      <w:r>
        <w:rPr>
          <w:rFonts w:hint="eastAsia"/>
          <w:lang w:eastAsia="zh-CN"/>
        </w:rPr>
        <w:t>1 范围</w:t>
      </w:r>
    </w:p>
    <w:p>
      <w:pPr>
        <w:pStyle w:val="15"/>
        <w:rPr>
          <w:rFonts w:hint="eastAsia"/>
          <w:w w:val="110"/>
          <w:sz w:val="21"/>
          <w:szCs w:val="21"/>
          <w:lang w:eastAsia="zh-CN"/>
        </w:rPr>
      </w:pPr>
      <w:r>
        <w:rPr>
          <w:rFonts w:hint="eastAsia"/>
          <w:w w:val="110"/>
          <w:sz w:val="21"/>
          <w:szCs w:val="21"/>
          <w:lang w:eastAsia="zh-CN"/>
        </w:rPr>
        <w:t>本细则适用于低碳钢热轧圆盘条产品质量监督抽查，针对特殊情况的市级监督专项抽查、县级以上地方质量技术监督部门组织的地方监督抽查可参照执行。监督抽查产品为低碳钢热轧圆盘条。本细则内容包括检验依据、抽样、检验要求、判定原则、异议处理及附则。</w:t>
      </w:r>
    </w:p>
    <w:p>
      <w:pPr>
        <w:pStyle w:val="1"/>
        <w:spacing w:afterLines="0" w:after="156"/>
        <w:ind w:firstLineChars="0" w:firstLine="0"/>
        <w:rPr>
          <w:rFonts w:hint="eastAsia"/>
          <w:lang w:eastAsia="zh-CN"/>
        </w:rPr>
      </w:pPr>
      <w:r>
        <w:rPr>
          <w:rFonts w:hint="eastAsia"/>
          <w:lang w:eastAsia="zh-CN"/>
        </w:rPr>
        <w:t>2 检验依据</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bidi="ar-SA"/>
        </w:rPr>
        <w:t>凡是注日期的文件，其随后所有的修改单（不包括勘误的内容）或修订版不适用于本细则。凡是不注日期的文件，其最新版本适用于本细则。</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GB/T 701 低碳钢热轧圆盘条</w:t>
      </w:r>
    </w:p>
    <w:p>
      <w:pPr>
        <w:spacing w:line="300" w:lineRule="auto"/>
        <w:ind w:leftChars="220" w:left="1617" w:hangingChars="500" w:hanging="1155"/>
        <w:rPr>
          <w:rFonts w:ascii="宋体" w:cs="宋体" w:hint="eastAsia"/>
          <w:w w:val="110"/>
          <w:szCs w:val="21"/>
          <w:lang w:eastAsia="zh-CN" w:bidi="ar-SA"/>
        </w:rPr>
      </w:pPr>
      <w:r>
        <w:rPr>
          <w:rFonts w:ascii="宋体" w:cs="宋体" w:hint="eastAsia"/>
          <w:w w:val="110"/>
          <w:szCs w:val="21"/>
          <w:lang w:eastAsia="zh-CN" w:bidi="ar-SA"/>
        </w:rPr>
        <w:t>GB/T 4336 碳素钢和中低合金钢 多元素含量的测定 火花放电原子发射光谱法（常规法）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GB/T 228.1 金属材料 拉伸试验 第1部分：室温试验方法</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GB/T 14437 产品质量监督计数一次抽样检验程序及抽样方案</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相关的法律法规、部门规章和细则。</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3 抽样</w:t>
      </w:r>
    </w:p>
    <w:p>
      <w:pPr>
        <w:pStyle w:val="2"/>
        <w:ind w:firstLineChars="0" w:firstLine="0"/>
        <w:rPr>
          <w:rFonts w:hint="eastAsia"/>
          <w:w w:val="110"/>
          <w:szCs w:val="24"/>
          <w:lang w:eastAsia="zh-CN"/>
        </w:rPr>
      </w:pPr>
      <w:r>
        <w:rPr>
          <w:rFonts w:hint="eastAsia"/>
          <w:w w:val="110"/>
          <w:szCs w:val="24"/>
          <w:lang w:eastAsia="zh-CN"/>
        </w:rPr>
        <w:t>3.1 抽样型号或规格</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抽样产品应为同一规格、同一批次的产品。有多种产品时，优先抽取主导牌号的产品。</w:t>
      </w:r>
    </w:p>
    <w:p>
      <w:pPr>
        <w:pStyle w:val="2"/>
        <w:ind w:firstLineChars="0" w:firstLine="0"/>
        <w:rPr>
          <w:rFonts w:hint="eastAsia"/>
          <w:w w:val="110"/>
          <w:szCs w:val="24"/>
          <w:lang w:eastAsia="zh-CN"/>
        </w:rPr>
      </w:pPr>
      <w:r>
        <w:rPr>
          <w:rFonts w:hint="eastAsia"/>
          <w:w w:val="110"/>
          <w:szCs w:val="24"/>
          <w:lang w:eastAsia="zh-CN"/>
        </w:rPr>
        <w:t>3.2 抽样方法、基数及数量</w:t>
      </w:r>
    </w:p>
    <w:p>
      <w:pPr>
        <w:spacing w:line="300" w:lineRule="auto"/>
        <w:ind w:left="0"/>
        <w:rPr>
          <w:rFonts w:ascii="宋体" w:cs="宋体" w:hint="eastAsia"/>
          <w:w w:val="110"/>
          <w:szCs w:val="21"/>
          <w:lang w:bidi="ar-SA"/>
        </w:rPr>
      </w:pPr>
      <w:r>
        <w:rPr>
          <w:rFonts w:ascii="宋体" w:cs="宋体" w:hint="eastAsia"/>
          <w:b/>
          <w:bCs/>
          <w:w w:val="110"/>
          <w:szCs w:val="21"/>
          <w:lang w:bidi="ar-SA"/>
        </w:rPr>
        <w:t>3.2.1</w:t>
      </w:r>
      <w:r>
        <w:rPr>
          <w:rFonts w:ascii="宋体" w:cs="宋体" w:hint="eastAsia"/>
          <w:bCs/>
          <w:w w:val="110"/>
          <w:szCs w:val="21"/>
          <w:lang w:bidi="ar-SA"/>
        </w:rPr>
        <w:t xml:space="preserve"> </w:t>
      </w:r>
      <w:r>
        <w:rPr>
          <w:rFonts w:ascii="宋体" w:cs="宋体" w:hint="eastAsia"/>
          <w:w w:val="110"/>
          <w:szCs w:val="21"/>
          <w:lang w:bidi="ar-SA"/>
        </w:rPr>
        <w:t>在企业的成品库内或市场待销产品中随机抽取有产品质量检验合格证明或者以其它形式标明合格的、近期生产的产品。</w:t>
      </w:r>
    </w:p>
    <w:p>
      <w:pPr>
        <w:pStyle w:val="3"/>
        <w:ind w:firstLineChars="0" w:firstLine="0"/>
        <w:rPr>
          <w:rFonts w:hint="eastAsia"/>
          <w:b w:val="0"/>
          <w:bCs w:val="0"/>
          <w:w w:val="110"/>
          <w:sz w:val="21"/>
          <w:szCs w:val="21"/>
          <w:lang w:eastAsia="zh-CN"/>
        </w:rPr>
      </w:pPr>
      <w:r>
        <w:rPr>
          <w:rFonts w:hint="eastAsia"/>
          <w:w w:val="110"/>
          <w:sz w:val="21"/>
          <w:szCs w:val="21"/>
          <w:lang w:eastAsia="zh-CN"/>
        </w:rPr>
        <w:t>3.2.2</w:t>
      </w:r>
      <w:r>
        <w:rPr>
          <w:rFonts w:hint="eastAsia"/>
          <w:b w:val="0"/>
          <w:w w:val="110"/>
          <w:sz w:val="21"/>
          <w:szCs w:val="21"/>
          <w:lang w:eastAsia="zh-CN"/>
        </w:rPr>
        <w:t xml:space="preserve"> </w:t>
      </w:r>
      <w:r>
        <w:rPr>
          <w:rFonts w:hint="eastAsia"/>
          <w:b w:val="0"/>
          <w:bCs w:val="0"/>
          <w:w w:val="110"/>
          <w:sz w:val="21"/>
          <w:szCs w:val="21"/>
          <w:lang w:eastAsia="zh-CN"/>
        </w:rPr>
        <w:t>随机数一般可使用随机数表、骰子或扑克牌等方法产生。</w:t>
      </w:r>
    </w:p>
    <w:p>
      <w:pPr>
        <w:pStyle w:val="3"/>
        <w:ind w:firstLineChars="0" w:firstLine="0"/>
        <w:rPr>
          <w:rFonts w:hint="eastAsia"/>
          <w:b w:val="0"/>
          <w:w w:val="110"/>
          <w:sz w:val="21"/>
          <w:szCs w:val="21"/>
          <w:lang w:eastAsia="zh-CN"/>
        </w:rPr>
      </w:pPr>
      <w:r>
        <w:rPr>
          <w:rFonts w:hint="eastAsia"/>
          <w:w w:val="110"/>
          <w:sz w:val="21"/>
          <w:szCs w:val="21"/>
          <w:lang w:eastAsia="zh-CN"/>
        </w:rPr>
        <w:t>3.2.3</w:t>
      </w:r>
      <w:r>
        <w:rPr>
          <w:rFonts w:hint="eastAsia"/>
          <w:b w:val="0"/>
          <w:w w:val="110"/>
          <w:sz w:val="21"/>
          <w:szCs w:val="21"/>
          <w:lang w:eastAsia="zh-CN"/>
        </w:rPr>
        <w:t xml:space="preserve"> </w:t>
      </w:r>
      <w:r>
        <w:rPr>
          <w:rFonts w:hint="eastAsia"/>
          <w:b w:val="0"/>
          <w:bCs w:val="0"/>
          <w:w w:val="110"/>
          <w:sz w:val="21"/>
          <w:szCs w:val="21"/>
          <w:lang w:eastAsia="zh-CN"/>
        </w:rPr>
        <w:t>在企业成品库抽样时，低碳钢热轧圆盘条同一批次产品抽样基数不得少于5盘。如在流通领域抽样时，抽样基数满足抽样数量即可。</w:t>
      </w:r>
    </w:p>
    <w:p>
      <w:pPr>
        <w:pStyle w:val="3"/>
        <w:ind w:firstLineChars="0" w:firstLine="0"/>
        <w:rPr>
          <w:rFonts w:hint="eastAsia"/>
          <w:b w:val="0"/>
          <w:bCs w:val="0"/>
          <w:w w:val="110"/>
          <w:sz w:val="21"/>
          <w:szCs w:val="21"/>
          <w:lang w:eastAsia="zh-CN"/>
        </w:rPr>
      </w:pPr>
      <w:r>
        <w:rPr>
          <w:rFonts w:hint="eastAsia"/>
          <w:w w:val="110"/>
          <w:sz w:val="21"/>
          <w:szCs w:val="21"/>
          <w:lang w:eastAsia="zh-CN"/>
        </w:rPr>
        <w:t>3.2.4</w:t>
      </w:r>
      <w:r>
        <w:rPr>
          <w:rFonts w:hint="eastAsia"/>
          <w:b w:val="0"/>
          <w:w w:val="110"/>
          <w:sz w:val="21"/>
          <w:szCs w:val="21"/>
          <w:lang w:eastAsia="zh-CN"/>
        </w:rPr>
        <w:t xml:space="preserve"> </w:t>
      </w:r>
      <w:r>
        <w:rPr>
          <w:rFonts w:hint="eastAsia"/>
          <w:b w:val="0"/>
          <w:bCs w:val="0"/>
          <w:w w:val="110"/>
          <w:sz w:val="21"/>
          <w:szCs w:val="21"/>
          <w:lang w:eastAsia="zh-CN"/>
        </w:rPr>
        <w:t>抽样采用分层随机抽样方法进行，抽样方法如下：</w:t>
      </w:r>
    </w:p>
    <w:p>
      <w:pPr>
        <w:spacing w:line="300" w:lineRule="auto"/>
        <w:rPr>
          <w:rFonts w:ascii="宋体" w:cs="宋体" w:hint="eastAsia"/>
          <w:bCs/>
          <w:w w:val="110"/>
          <w:szCs w:val="21"/>
          <w:lang w:eastAsia="zh-CN" w:bidi="ar-SA"/>
        </w:rPr>
      </w:pPr>
      <w:r>
        <w:rPr>
          <w:rFonts w:ascii="宋体" w:cs="宋体" w:hint="eastAsia"/>
          <w:bCs/>
          <w:w w:val="110"/>
          <w:szCs w:val="21"/>
          <w:lang w:eastAsia="zh-CN" w:bidi="ar-SA"/>
        </w:rPr>
        <w:t>（1）按优先原则确定所抽产品的牌号；</w:t>
      </w:r>
    </w:p>
    <w:p>
      <w:pPr>
        <w:spacing w:line="300" w:lineRule="auto"/>
        <w:rPr>
          <w:rFonts w:ascii="宋体" w:cs="宋体" w:hint="eastAsia"/>
          <w:bCs/>
          <w:w w:val="110"/>
          <w:szCs w:val="21"/>
          <w:lang w:eastAsia="zh-CN" w:bidi="ar-SA"/>
        </w:rPr>
      </w:pPr>
      <w:r>
        <w:rPr>
          <w:rFonts w:ascii="宋体" w:cs="宋体" w:hint="eastAsia"/>
          <w:bCs/>
          <w:w w:val="110"/>
          <w:szCs w:val="21"/>
          <w:lang w:eastAsia="zh-CN" w:bidi="ar-SA"/>
        </w:rPr>
        <w:t>（2）将确定的牌号产品按所有规格逐一编号，做到不重不漏，用上述随机数产生方法抽取其中的某一规格；</w:t>
      </w:r>
    </w:p>
    <w:p>
      <w:pPr>
        <w:spacing w:line="300" w:lineRule="auto"/>
        <w:rPr>
          <w:rFonts w:ascii="宋体" w:cs="宋体" w:hint="eastAsia"/>
          <w:bCs/>
          <w:w w:val="110"/>
          <w:szCs w:val="21"/>
          <w:lang w:eastAsia="zh-CN" w:bidi="ar-SA"/>
        </w:rPr>
      </w:pPr>
      <w:r>
        <w:rPr>
          <w:rFonts w:ascii="宋体" w:cs="宋体" w:hint="eastAsia"/>
          <w:bCs/>
          <w:w w:val="110"/>
          <w:szCs w:val="21"/>
          <w:lang w:eastAsia="zh-CN" w:bidi="ar-SA"/>
        </w:rPr>
        <w:t>（3）将确定的某规格产品按堆放的垛数逐一编号，做到不重不漏，用上述随机数产生方法抽取其中的某一垛；</w:t>
      </w:r>
    </w:p>
    <w:p>
      <w:pPr>
        <w:spacing w:line="300" w:lineRule="auto"/>
        <w:rPr>
          <w:rFonts w:ascii="宋体" w:cs="宋体" w:hint="eastAsia"/>
          <w:bCs/>
          <w:w w:val="110"/>
          <w:szCs w:val="21"/>
          <w:lang w:eastAsia="zh-CN" w:bidi="ar-SA"/>
        </w:rPr>
      </w:pPr>
      <w:r>
        <w:rPr>
          <w:rFonts w:ascii="宋体" w:cs="宋体" w:hint="eastAsia"/>
          <w:bCs/>
          <w:w w:val="110"/>
          <w:szCs w:val="21"/>
          <w:lang w:eastAsia="zh-CN" w:bidi="ar-SA"/>
        </w:rPr>
        <w:t>（4）将该垛的表层产品按盘数逐一编号，做到不重不漏，用上述随机数产生方法抽取其中某1盘的产品，确认满足抽样基数后，该产品就是所要抽取的批；</w:t>
      </w:r>
    </w:p>
    <w:p>
      <w:pPr>
        <w:spacing w:line="300" w:lineRule="auto"/>
        <w:rPr>
          <w:rFonts w:ascii="宋体" w:cs="宋体" w:hint="eastAsia"/>
          <w:bCs/>
          <w:w w:val="110"/>
          <w:szCs w:val="21"/>
          <w:lang w:eastAsia="zh-CN" w:bidi="ar-SA"/>
        </w:rPr>
      </w:pPr>
      <w:r>
        <w:rPr>
          <w:rFonts w:ascii="宋体" w:cs="宋体" w:hint="eastAsia"/>
          <w:bCs/>
          <w:w w:val="110"/>
          <w:szCs w:val="21"/>
          <w:lang w:eastAsia="zh-CN" w:bidi="ar-SA"/>
        </w:rPr>
        <w:t>（5）将确定的该批产品逐一编号，做到不重不漏，用上述随机数产生方法抽取其余4盘的产品；</w:t>
      </w:r>
    </w:p>
    <w:p>
      <w:pPr>
        <w:spacing w:line="300" w:lineRule="auto"/>
        <w:rPr>
          <w:rFonts w:ascii="宋体" w:cs="宋体" w:hint="eastAsia"/>
          <w:bCs/>
          <w:w w:val="110"/>
          <w:szCs w:val="21"/>
          <w:lang w:eastAsia="zh-CN" w:bidi="ar-SA"/>
        </w:rPr>
      </w:pPr>
      <w:r>
        <w:rPr>
          <w:rFonts w:ascii="宋体" w:cs="宋体" w:hint="eastAsia"/>
          <w:bCs/>
          <w:w w:val="110"/>
          <w:szCs w:val="21"/>
          <w:lang w:eastAsia="zh-CN" w:bidi="ar-SA"/>
        </w:rPr>
        <w:t>（6）若该批号产品不满足抽样基数，则重复以上步骤进行抽样，直到某盘同批号产品满足抽样基数为止；</w:t>
      </w:r>
    </w:p>
    <w:p>
      <w:pPr>
        <w:spacing w:line="300" w:lineRule="auto"/>
        <w:rPr>
          <w:rFonts w:ascii="宋体" w:cs="宋体" w:hint="eastAsia"/>
          <w:bCs/>
          <w:w w:val="110"/>
          <w:szCs w:val="21"/>
          <w:lang w:eastAsia="zh-CN" w:bidi="ar-SA"/>
        </w:rPr>
      </w:pPr>
      <w:r>
        <w:rPr>
          <w:rFonts w:ascii="宋体" w:cs="宋体" w:hint="eastAsia"/>
          <w:bCs/>
          <w:w w:val="110"/>
          <w:szCs w:val="21"/>
          <w:lang w:eastAsia="zh-CN" w:bidi="ar-SA"/>
        </w:rPr>
        <w:t>（7）在每盘产品商距头或尾至少200mm处，随机至少截取5根长度为1000mm的产品，逐根顺序编号为1～5，再把每根产品分成2支长度为500mm的样品，2支样品逐支编号，并一一对应(如1-a，1-b)。标记a的5支样品为检验样品，标记b的5支样品为备用样品。</w:t>
      </w:r>
    </w:p>
    <w:p>
      <w:pPr>
        <w:pStyle w:val="2"/>
        <w:ind w:firstLineChars="0" w:firstLine="0"/>
        <w:rPr>
          <w:rFonts w:hint="eastAsia"/>
          <w:w w:val="110"/>
          <w:szCs w:val="24"/>
          <w:lang w:eastAsia="zh-CN"/>
        </w:rPr>
      </w:pPr>
      <w:r>
        <w:rPr>
          <w:rFonts w:hint="eastAsia"/>
          <w:w w:val="110"/>
          <w:szCs w:val="24"/>
          <w:lang w:eastAsia="zh-CN"/>
        </w:rPr>
        <w:t>3.3 样品处置</w:t>
      </w:r>
    </w:p>
    <w:p>
      <w:pPr>
        <w:spacing w:line="300" w:lineRule="auto"/>
        <w:ind w:firstLineChars="200" w:firstLine="462"/>
        <w:rPr>
          <w:rFonts w:ascii="宋体" w:cs="宋体" w:hint="eastAsia"/>
          <w:bCs/>
          <w:w w:val="110"/>
          <w:szCs w:val="21"/>
          <w:lang w:eastAsia="zh-CN" w:bidi="ar-SA"/>
        </w:rPr>
      </w:pPr>
      <w:r>
        <w:rPr>
          <w:rFonts w:ascii="宋体" w:cs="宋体" w:hint="eastAsia"/>
          <w:bCs/>
          <w:w w:val="110"/>
          <w:szCs w:val="21"/>
          <w:lang w:eastAsia="zh-CN" w:bidi="ar-SA"/>
        </w:rPr>
        <w:t>应当对检验样品和备用样品分别签封，并各挂一个标牌，同时在封条上标注出检验样品或备用样品字样。样品应由包装材料全部包裹，可使用多张封条封样，为防拆封，对封条采用透明胶带缠裹。</w:t>
      </w:r>
    </w:p>
    <w:p>
      <w:pPr>
        <w:spacing w:line="300" w:lineRule="auto"/>
        <w:ind w:firstLineChars="200" w:firstLine="462"/>
        <w:rPr>
          <w:rFonts w:ascii="宋体" w:cs="宋体" w:hint="eastAsia"/>
          <w:bCs/>
          <w:w w:val="110"/>
          <w:szCs w:val="21"/>
          <w:lang w:eastAsia="zh-CN" w:bidi="ar-SA"/>
        </w:rPr>
      </w:pPr>
      <w:r>
        <w:rPr>
          <w:rFonts w:ascii="宋体" w:cs="宋体" w:hint="eastAsia"/>
          <w:bCs/>
          <w:w w:val="110"/>
          <w:szCs w:val="21"/>
          <w:lang w:eastAsia="zh-CN" w:bidi="ar-SA"/>
        </w:rPr>
        <w:t>样品由抽样单位送到检验机构，备用样品由检验机构存放。</w:t>
      </w:r>
    </w:p>
    <w:p>
      <w:pPr>
        <w:pStyle w:val="2"/>
        <w:ind w:firstLineChars="0" w:firstLine="0"/>
        <w:rPr>
          <w:rFonts w:hint="eastAsia"/>
          <w:w w:val="110"/>
          <w:szCs w:val="24"/>
          <w:lang w:eastAsia="zh-CN"/>
        </w:rPr>
      </w:pPr>
      <w:r>
        <w:rPr>
          <w:rFonts w:hint="eastAsia"/>
          <w:w w:val="110"/>
          <w:szCs w:val="24"/>
          <w:lang w:eastAsia="zh-CN"/>
        </w:rPr>
        <w:t>3.4 抽样单</w:t>
      </w:r>
    </w:p>
    <w:p>
      <w:pPr>
        <w:spacing w:line="300" w:lineRule="auto"/>
        <w:ind w:firstLineChars="200" w:firstLine="462"/>
        <w:rPr>
          <w:rFonts w:ascii="宋体" w:cs="宋体" w:hint="eastAsia"/>
          <w:bCs/>
          <w:w w:val="110"/>
          <w:szCs w:val="21"/>
          <w:lang w:eastAsia="zh-CN" w:bidi="ar-SA"/>
        </w:rPr>
      </w:pPr>
      <w:r>
        <w:rPr>
          <w:rFonts w:ascii="宋体" w:cs="宋体" w:hint="eastAsia"/>
          <w:bCs/>
          <w:w w:val="110"/>
          <w:szCs w:val="21"/>
          <w:lang w:eastAsia="zh-CN" w:bidi="ar-SA"/>
        </w:rPr>
        <w:t>应按有关规定填写抽样单、并记录被抽查产品及企业相关信息。</w:t>
      </w:r>
    </w:p>
    <w:p>
      <w:pPr>
        <w:pStyle w:val="1"/>
        <w:spacing w:afterLines="0" w:after="156"/>
        <w:ind w:firstLineChars="0" w:firstLine="0"/>
        <w:rPr>
          <w:rFonts w:hint="eastAsia"/>
          <w:lang w:eastAsia="zh-CN"/>
        </w:rPr>
      </w:pPr>
      <w:r>
        <w:rPr>
          <w:rFonts w:hint="eastAsia"/>
          <w:lang w:eastAsia="zh-CN"/>
        </w:rPr>
        <w:t>4 检验项目</w:t>
      </w:r>
    </w:p>
    <w:p>
      <w:pPr>
        <w:pStyle w:val="2"/>
        <w:ind w:firstLineChars="0" w:firstLine="0"/>
        <w:rPr>
          <w:rFonts w:hint="eastAsia"/>
          <w:w w:val="110"/>
          <w:szCs w:val="24"/>
          <w:lang w:eastAsia="zh-CN"/>
        </w:rPr>
      </w:pPr>
      <w:r>
        <w:rPr>
          <w:rFonts w:hint="eastAsia"/>
          <w:w w:val="110"/>
          <w:szCs w:val="24"/>
          <w:lang w:eastAsia="zh-CN"/>
        </w:rPr>
        <w:t>4.1 检验项目</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检验项目见表1。</w:t>
      </w:r>
    </w:p>
    <w:p>
      <w:pPr>
        <w:jc w:val="center"/>
        <w:rPr>
          <w:rFonts w:hint="eastAsia"/>
          <w:b/>
          <w:spacing w:val="-1"/>
          <w:w w:val="104"/>
          <w:sz w:val="21"/>
          <w:szCs w:val="21"/>
          <w:lang w:eastAsia="zh-CN"/>
        </w:rPr>
      </w:pPr>
      <w:r>
        <w:rPr>
          <w:rFonts w:hint="eastAsia"/>
          <w:b/>
          <w:spacing w:val="30"/>
          <w:sz w:val="21"/>
          <w:szCs w:val="21"/>
          <w:lang w:eastAsia="zh-CN"/>
        </w:rPr>
        <w:t>表1 检验项目及重要程度分类</w:t>
      </w:r>
    </w:p>
    <w:tbl>
      <w:tblPr>
        <w:jc w:val="center"/>
        <w:tblW w:w="7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1106"/>
        <w:gridCol w:w="2206"/>
        <w:gridCol w:w="1945"/>
        <w:gridCol w:w="1934"/>
      </w:tblGrid>
      <w:tr>
        <w:trPr>
          <w:trHeight w:val="312"/>
          <w:tblHeader/>
        </w:trPr>
        <w:tc>
          <w:tcPr>
            <w:tcW w:w="472"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序号</w:t>
            </w:r>
          </w:p>
        </w:tc>
        <w:tc>
          <w:tcPr>
            <w:tcW w:w="3312" w:type="dxa"/>
            <w:gridSpan w:val="2"/>
            <w:vMerge w:val="restart"/>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检验项目</w:t>
            </w:r>
          </w:p>
        </w:tc>
        <w:tc>
          <w:tcPr>
            <w:tcW w:w="1945"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依据标准</w:t>
            </w:r>
          </w:p>
        </w:tc>
        <w:tc>
          <w:tcPr>
            <w:tcW w:w="1934"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检测方法</w:t>
            </w:r>
          </w:p>
        </w:tc>
      </w:tr>
      <w:tr>
        <w:trPr>
          <w:trHeight w:val="312"/>
          <w:tblHeader/>
        </w:trPr>
        <w:tc>
          <w:tcPr>
            <w:tcW w:w="472" w:type="dxa"/>
            <w:vMerge/>
            <w:tcBorders>
              <w:bottom w:val="single" w:sz="4" w:space="0" w:color="auto"/>
              <w:tl2br w:val="nil"/>
              <w:tr2bl w:val="nil"/>
            </w:tcBorders>
            <w:vAlign w:val="center"/>
          </w:tcPr>
          <w:p/>
        </w:tc>
        <w:tc>
          <w:tcPr>
            <w:tcW w:w="3312" w:type="dxa"/>
            <w:gridSpan w:val="2"/>
            <w:vMerge/>
            <w:tcBorders>
              <w:bottom w:val="single" w:sz="4" w:space="0" w:color="auto"/>
              <w:tl2br w:val="nil"/>
              <w:tr2bl w:val="nil"/>
            </w:tcBorders>
            <w:vAlign w:val="center"/>
          </w:tcPr>
          <w:p/>
        </w:tc>
        <w:tc>
          <w:tcPr>
            <w:tcW w:w="1945" w:type="dxa"/>
            <w:vMerge/>
            <w:tcBorders>
              <w:bottom w:val="single" w:sz="4" w:space="0" w:color="auto"/>
              <w:tl2br w:val="nil"/>
              <w:tr2bl w:val="nil"/>
            </w:tcBorders>
            <w:vAlign w:val="center"/>
          </w:tcPr>
          <w:p/>
        </w:tc>
        <w:tc>
          <w:tcPr>
            <w:tcW w:w="1934" w:type="dxa"/>
            <w:vMerge/>
            <w:tcBorders>
              <w:bottom w:val="single" w:sz="4" w:space="0" w:color="auto"/>
              <w:tl2br w:val="nil"/>
              <w:tr2bl w:val="nil"/>
            </w:tcBorders>
            <w:vAlign w:val="center"/>
          </w:tcPr>
          <w:p/>
        </w:tc>
      </w:tr>
      <w:tr>
        <w:tc>
          <w:tcPr>
            <w:tcW w:w="472" w:type="dxa"/>
            <w:vMerge w:val="restart"/>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1</w:t>
            </w:r>
          </w:p>
        </w:tc>
        <w:tc>
          <w:tcPr>
            <w:tcW w:w="1106" w:type="dxa"/>
            <w:vMerge w:val="restart"/>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力学性能</w:t>
            </w:r>
          </w:p>
        </w:tc>
        <w:tc>
          <w:tcPr>
            <w:tcW w:w="2206" w:type="dxa"/>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抗拉强度Rm</w:t>
            </w:r>
          </w:p>
        </w:tc>
        <w:tc>
          <w:tcPr>
            <w:tcW w:w="1945" w:type="dxa"/>
            <w:vMerge w:val="restart"/>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GB/T 701</w:t>
            </w:r>
          </w:p>
        </w:tc>
        <w:tc>
          <w:tcPr>
            <w:tcW w:w="1934"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228.1</w:t>
            </w:r>
          </w:p>
        </w:tc>
      </w:tr>
      <w:tr>
        <w:trPr>
          <w:trHeight w:val="339"/>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断后伸长率A</w:t>
            </w:r>
            <w:r>
              <w:rPr>
                <w:rFonts w:ascii="宋体" w:cs="宋体" w:hint="eastAsia"/>
                <w:kern w:val="2"/>
                <w:sz w:val="21"/>
                <w:szCs w:val="21"/>
                <w:vertAlign w:val="subscript"/>
                <w:lang w:eastAsia="zh-CN" w:bidi="ar-SA"/>
              </w:rPr>
              <w:t>11.3</w:t>
            </w:r>
          </w:p>
        </w:tc>
        <w:tc>
          <w:tcPr>
            <w:tcW w:w="1945" w:type="dxa"/>
            <w:vMerge/>
            <w:tcBorders>
              <w:tl2br w:val="nil"/>
              <w:tr2bl w:val="nil"/>
            </w:tcBorders>
            <w:vAlign w:val="center"/>
          </w:tcPr>
          <w:p/>
        </w:tc>
        <w:tc>
          <w:tcPr>
            <w:tcW w:w="1934" w:type="dxa"/>
            <w:vMerge/>
            <w:tcBorders>
              <w:tl2br w:val="nil"/>
              <w:tr2bl w:val="nil"/>
            </w:tcBorders>
            <w:vAlign w:val="center"/>
          </w:tcPr>
          <w:p/>
        </w:tc>
      </w:tr>
      <w:tr>
        <w:tc>
          <w:tcPr>
            <w:tcW w:w="472" w:type="dxa"/>
            <w:vMerge w:val="restart"/>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2</w:t>
            </w:r>
          </w:p>
        </w:tc>
        <w:tc>
          <w:tcPr>
            <w:tcW w:w="1106" w:type="dxa"/>
            <w:vMerge w:val="restart"/>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化学成分</w:t>
            </w:r>
          </w:p>
        </w:tc>
        <w:tc>
          <w:tcPr>
            <w:tcW w:w="2206" w:type="dxa"/>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C</w:t>
            </w:r>
          </w:p>
        </w:tc>
        <w:tc>
          <w:tcPr>
            <w:tcW w:w="1945" w:type="dxa"/>
            <w:tcBorders>
              <w:tl2br w:val="nil"/>
              <w:tr2bl w:val="nil"/>
            </w:tcBorders>
          </w:tcPr>
          <w:p>
            <w:pPr>
              <w:ind w:firstLineChars="200" w:firstLine="420"/>
              <w:jc w:val="left"/>
              <w:rPr>
                <w:rFonts w:ascii="宋体" w:cs="宋体" w:hint="eastAsia"/>
                <w:szCs w:val="21"/>
                <w:lang w:bidi="ar-SA"/>
              </w:rPr>
            </w:pPr>
            <w:r>
              <w:rPr>
                <w:rFonts w:ascii="宋体" w:cs="宋体" w:hint="eastAsia"/>
                <w:kern w:val="2"/>
                <w:sz w:val="21"/>
                <w:szCs w:val="21"/>
                <w:lang w:eastAsia="zh-CN" w:bidi="ar-SA"/>
              </w:rPr>
              <w:t>GB/T 701</w:t>
            </w:r>
          </w:p>
        </w:tc>
        <w:tc>
          <w:tcPr>
            <w:tcW w:w="1934"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4336</w:t>
            </w: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Si</w:t>
            </w:r>
          </w:p>
        </w:tc>
        <w:tc>
          <w:tcPr>
            <w:tcW w:w="1945" w:type="dxa"/>
            <w:tcBorders>
              <w:tl2br w:val="nil"/>
              <w:tr2bl w:val="nil"/>
            </w:tcBorders>
          </w:tcPr>
          <w:p>
            <w:pPr>
              <w:ind w:firstLineChars="200" w:firstLine="420"/>
              <w:jc w:val="left"/>
              <w:rPr>
                <w:rFonts w:ascii="宋体" w:cs="宋体" w:hint="eastAsia"/>
                <w:szCs w:val="21"/>
                <w:lang w:bidi="ar-SA"/>
              </w:rPr>
            </w:pPr>
            <w:r>
              <w:rPr>
                <w:rFonts w:ascii="宋体" w:cs="宋体" w:hint="eastAsia"/>
                <w:kern w:val="2"/>
                <w:sz w:val="21"/>
                <w:szCs w:val="21"/>
                <w:lang w:eastAsia="zh-CN" w:bidi="ar-SA"/>
              </w:rPr>
              <w:t>GB/T 701</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Mn</w:t>
            </w:r>
          </w:p>
        </w:tc>
        <w:tc>
          <w:tcPr>
            <w:tcW w:w="1945" w:type="dxa"/>
            <w:tcBorders>
              <w:tl2br w:val="nil"/>
              <w:tr2bl w:val="nil"/>
            </w:tcBorders>
          </w:tcPr>
          <w:p>
            <w:pPr>
              <w:ind w:firstLineChars="200" w:firstLine="420"/>
              <w:jc w:val="left"/>
              <w:rPr>
                <w:rFonts w:ascii="宋体" w:cs="宋体" w:hint="eastAsia"/>
                <w:szCs w:val="21"/>
                <w:lang w:bidi="ar-SA"/>
              </w:rPr>
            </w:pPr>
            <w:r>
              <w:rPr>
                <w:rFonts w:ascii="宋体" w:cs="宋体" w:hint="eastAsia"/>
                <w:kern w:val="2"/>
                <w:sz w:val="21"/>
                <w:szCs w:val="21"/>
                <w:lang w:eastAsia="zh-CN" w:bidi="ar-SA"/>
              </w:rPr>
              <w:t>GB/T 701</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P</w:t>
            </w:r>
          </w:p>
        </w:tc>
        <w:tc>
          <w:tcPr>
            <w:tcW w:w="1945" w:type="dxa"/>
            <w:tcBorders>
              <w:tl2br w:val="nil"/>
              <w:tr2bl w:val="nil"/>
            </w:tcBorders>
          </w:tcPr>
          <w:p>
            <w:pPr>
              <w:ind w:firstLineChars="200" w:firstLine="420"/>
              <w:jc w:val="left"/>
              <w:rPr>
                <w:rFonts w:ascii="宋体" w:cs="宋体" w:hint="eastAsia"/>
                <w:szCs w:val="21"/>
                <w:lang w:bidi="ar-SA"/>
              </w:rPr>
            </w:pPr>
            <w:r>
              <w:rPr>
                <w:rFonts w:ascii="宋体" w:cs="宋体" w:hint="eastAsia"/>
                <w:kern w:val="2"/>
                <w:sz w:val="21"/>
                <w:szCs w:val="21"/>
                <w:lang w:eastAsia="zh-CN" w:bidi="ar-SA"/>
              </w:rPr>
              <w:t>GB/T 701</w:t>
            </w:r>
          </w:p>
        </w:tc>
        <w:tc>
          <w:tcPr>
            <w:tcW w:w="1934" w:type="dxa"/>
            <w:vMerge/>
            <w:tcBorders>
              <w:tl2br w:val="nil"/>
              <w:tr2bl w:val="nil"/>
            </w:tcBorders>
            <w:vAlign w:val="center"/>
          </w:tcPr>
          <w:p/>
        </w:tc>
      </w:tr>
      <w:t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宋体" w:cs="宋体" w:hint="eastAsia"/>
                <w:kern w:val="2"/>
                <w:sz w:val="21"/>
                <w:szCs w:val="21"/>
                <w:lang w:eastAsia="zh-CN" w:bidi="ar-SA"/>
              </w:rPr>
            </w:pPr>
            <w:r>
              <w:rPr>
                <w:rFonts w:ascii="宋体" w:cs="宋体" w:hint="eastAsia"/>
                <w:kern w:val="2"/>
                <w:sz w:val="21"/>
                <w:szCs w:val="21"/>
                <w:lang w:eastAsia="zh-CN" w:bidi="ar-SA"/>
              </w:rPr>
              <w:t>S</w:t>
            </w:r>
          </w:p>
        </w:tc>
        <w:tc>
          <w:tcPr>
            <w:tcW w:w="1945" w:type="dxa"/>
            <w:tcBorders>
              <w:tl2br w:val="nil"/>
              <w:tr2bl w:val="nil"/>
            </w:tcBorders>
          </w:tcPr>
          <w:p>
            <w:pPr>
              <w:ind w:firstLineChars="200" w:firstLine="420"/>
              <w:jc w:val="left"/>
              <w:rPr>
                <w:rFonts w:ascii="宋体" w:cs="宋体" w:hint="eastAsia"/>
                <w:szCs w:val="21"/>
                <w:lang w:bidi="ar-SA"/>
              </w:rPr>
            </w:pPr>
            <w:r>
              <w:rPr>
                <w:rFonts w:ascii="宋体" w:cs="宋体" w:hint="eastAsia"/>
                <w:kern w:val="2"/>
                <w:sz w:val="21"/>
                <w:szCs w:val="21"/>
                <w:lang w:eastAsia="zh-CN" w:bidi="ar-SA"/>
              </w:rPr>
              <w:t>GB/T 701</w:t>
            </w:r>
          </w:p>
        </w:tc>
        <w:tc>
          <w:tcPr>
            <w:tcW w:w="1934" w:type="dxa"/>
            <w:vMerge/>
            <w:tcBorders>
              <w:tl2br w:val="nil"/>
              <w:tr2bl w:val="nil"/>
            </w:tcBorders>
            <w:vAlign w:val="center"/>
          </w:tcPr>
          <w:p/>
        </w:tc>
      </w:tr>
    </w:tbl>
    <w:p>
      <w:pPr>
        <w:pStyle w:val="1"/>
        <w:spacing w:afterLines="0" w:after="156"/>
        <w:ind w:firstLineChars="0" w:firstLine="0"/>
        <w:rPr>
          <w:rFonts w:hint="eastAsia"/>
          <w:lang w:eastAsia="zh-CN"/>
        </w:rPr>
      </w:pPr>
      <w:r>
        <w:rPr>
          <w:rFonts w:hint="eastAsia"/>
          <w:lang w:eastAsia="zh-CN"/>
        </w:rPr>
        <w:t>5 判定原则</w:t>
      </w:r>
    </w:p>
    <w:p>
      <w:pPr>
        <w:pStyle w:val="2"/>
        <w:ind w:firstLineChars="0" w:firstLine="0"/>
        <w:rPr>
          <w:rFonts w:hint="eastAsia"/>
          <w:w w:val="110"/>
          <w:szCs w:val="24"/>
          <w:lang w:eastAsia="zh-CN"/>
        </w:rPr>
      </w:pPr>
      <w:r>
        <w:rPr>
          <w:rFonts w:hint="eastAsia"/>
          <w:w w:val="110"/>
          <w:szCs w:val="24"/>
          <w:lang w:eastAsia="zh-CN"/>
        </w:rPr>
        <w:t>5.1 产品质量单项判定原则</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1）力学性能：每批检验样本量n=1，不合格品限定数L=0；检验样品的抗拉强度、断后伸长率指标。样品有任一指标不合格，判定该样品不合格。不合格品数d小于或等于不合格品限定数L时，判定被抽查产品力学性能项目合格，反之则判定为不合格。</w:t>
      </w:r>
    </w:p>
    <w:p>
      <w:pPr>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2）化学成分：每批检验样本量n=1，不合格品限定数L=0；检验样品的C、Si、Mn、P、S指标。若有任一指标不合格，判定该样品不合格。不合格品数d小于或等于不合格品限定数L时，判定被抽查产品化学成分项目合格，反之则判定为不合格。</w:t>
      </w:r>
    </w:p>
    <w:p>
      <w:pPr>
        <w:pStyle w:val="2"/>
        <w:ind w:firstLineChars="0" w:firstLine="0"/>
        <w:rPr>
          <w:rFonts w:hint="eastAsia"/>
          <w:w w:val="110"/>
          <w:szCs w:val="24"/>
          <w:lang w:eastAsia="zh-CN"/>
        </w:rPr>
      </w:pPr>
      <w:r>
        <w:rPr>
          <w:rFonts w:hint="eastAsia"/>
          <w:w w:val="110"/>
          <w:szCs w:val="24"/>
          <w:lang w:eastAsia="zh-CN"/>
        </w:rPr>
        <w:t>5.2 产品检验结果综合判定原则</w:t>
      </w:r>
    </w:p>
    <w:p>
      <w:pPr>
        <w:adjustRightInd w:val="0"/>
        <w:snapToGrid w:val="0"/>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经检验，检验项目全部合格，判定为被抽查产品合格；检验项目中任一项或一项以上不合格，判定为被抽查产品不合格。</w:t>
      </w:r>
    </w:p>
    <w:p>
      <w:pPr>
        <w:pStyle w:val="1"/>
        <w:spacing w:afterLines="0" w:after="156"/>
        <w:ind w:firstLineChars="0" w:firstLine="0"/>
        <w:rPr>
          <w:rFonts w:hint="eastAsia"/>
          <w:lang w:eastAsia="zh-CN"/>
        </w:rPr>
      </w:pPr>
      <w:r>
        <w:rPr>
          <w:rFonts w:hint="eastAsia"/>
          <w:lang w:eastAsia="zh-CN"/>
        </w:rPr>
        <w:t>6 异议复检处理</w:t>
      </w:r>
    </w:p>
    <w:p>
      <w:pPr>
        <w:adjustRightInd w:val="0"/>
        <w:snapToGrid w:val="0"/>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1.核查不合格项目相关证据，能够以记录（纸质记录或电子记录或影像记录）或与不合格项目相关联的其它质量数据等检验证据证明并得到企业认可，可以不复检。需要复检时，化学成分项目在原样上进行复检，力学性能、备样上进行复检。</w:t>
      </w:r>
    </w:p>
    <w:p>
      <w:pPr>
        <w:adjustRightInd w:val="0"/>
        <w:snapToGrid w:val="0"/>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adjustRightInd w:val="0"/>
        <w:snapToGrid w:val="0"/>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7 附则</w:t>
      </w:r>
    </w:p>
    <w:p>
      <w:pPr>
        <w:snapToGrid w:val="0"/>
        <w:spacing w:line="300" w:lineRule="auto"/>
        <w:ind w:firstLineChars="200" w:firstLine="462"/>
        <w:rPr>
          <w:rFonts w:ascii="宋体" w:cs="宋体" w:hint="eastAsia"/>
          <w:w w:val="110"/>
          <w:szCs w:val="21"/>
          <w:lang w:eastAsia="zh-CN" w:bidi="ar-SA"/>
        </w:rPr>
      </w:pPr>
      <w:r>
        <w:rPr>
          <w:rFonts w:ascii="宋体" w:cs="宋体" w:hint="eastAsia"/>
          <w:w w:val="110"/>
          <w:szCs w:val="21"/>
          <w:lang w:eastAsia="zh-CN" w:bidi="ar-SA"/>
        </w:rPr>
        <w:t>本细则编写单位：秦皇岛市质量技术监督检验所。</w:t>
      </w:r>
    </w:p>
    <w:p>
      <w:pPr>
        <w:snapToGrid w:val="0"/>
        <w:spacing w:line="300" w:lineRule="auto"/>
        <w:ind w:left="0" w:firstLineChars="200" w:firstLine="462"/>
        <w:rPr>
          <w:rFonts w:ascii="宋体" w:cs="宋体" w:hint="eastAsia"/>
          <w:w w:val="110"/>
          <w:szCs w:val="21"/>
          <w:lang w:bidi="ar-SA"/>
        </w:rPr>
      </w:pPr>
      <w:r>
        <w:rPr>
          <w:rFonts w:ascii="宋体" w:cs="宋体" w:hint="eastAsia"/>
          <w:w w:val="110"/>
          <w:szCs w:val="21"/>
          <w:lang w:bidi="ar-SA"/>
        </w:rPr>
        <w:t>本细则由秦皇岛市市场监督管理局产品质量安全监督管理科管理。</w:t>
      </w:r>
    </w:p>
    <w:p>
      <w:pPr>
        <w:adjustRightInd w:val="0"/>
        <w:snapToGrid w:val="0"/>
        <w:spacing w:line="324" w:lineRule="auto"/>
        <w:rPr>
          <w:rFonts w:ascii="宋体" w:cs="宋体" w:hint="eastAsia"/>
          <w:w w:val="110"/>
          <w:szCs w:val="21"/>
          <w:lang w:eastAsia="zh-CN" w:bidi="ar-SA"/>
        </w:rPr>
      </w:pPr>
    </w:p>
    <w:p/>
    <w:sectPr>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autoSpaceDE w:val="0"/>
      <w:autoSpaceDN w:val="0"/>
      <w:spacing w:line="300" w:lineRule="auto"/>
      <w:ind w:firstLineChars="200" w:firstLine="200"/>
      <w:jc w:val="both"/>
      <w:outlineLvl w:val="2"/>
    </w:pPr>
    <w:rPr>
      <w:rFonts w:ascii="宋体" w:eastAsia="宋体" w:cs="宋体" w:hAnsi="Times New Roman"/>
      <w:b/>
      <w:bCs/>
      <w:kern w:val="2"/>
      <w:sz w:val="24"/>
      <w:szCs w:val="32"/>
      <w:lang w:val="en-US" w:bidi="ar-SA"/>
    </w:rPr>
  </w:style>
  <w:style w:type="character" w:default="1" w:styleId="10">
    <w:name w:val="Default Paragraph Font"/>
  </w:style>
  <w:style w:type="paragraph" w:styleId="15">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F61AB754-68F6-4D36-B669-564CA4A9BB54}">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4</Pages>
  <Words>0</Words>
  <Characters>1758</Characters>
  <Lines>0</Lines>
  <Paragraphs>70</Paragraphs>
  <CharactersWithSpaces>2345</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2025-03-04T07:19:47Z</dcterms:created>
  <dcterms:modified xsi:type="dcterms:W3CDTF">2025-03-06T06:31:44Z</dcterms:modified>
</cp:coreProperties>
</file>