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-193040</wp:posOffset>
                </wp:positionH>
                <wp:positionV relativeFrom="paragraph">
                  <wp:posOffset>542925</wp:posOffset>
                </wp:positionV>
                <wp:extent cx="5822314"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2314"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5.2pt,42.75pt" to="443.24997pt,42.75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adjustRightInd w:val="0"/>
        <w:snapToGrid w:val="0"/>
        <w:spacing w:line="360" w:lineRule="auto"/>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b/>
          <w:sz w:val="52"/>
          <w:szCs w:val="52"/>
        </w:rPr>
      </w:pPr>
    </w:p>
    <w:p>
      <w:pPr>
        <w:jc w:val="center"/>
        <w:rPr>
          <w:b/>
          <w:sz w:val="52"/>
          <w:szCs w:val="52"/>
        </w:rPr>
      </w:pPr>
    </w:p>
    <w:p>
      <w:pPr>
        <w:jc w:val="center"/>
        <w:rPr>
          <w:rFonts w:hint="eastAsia"/>
          <w:b/>
          <w:sz w:val="52"/>
          <w:szCs w:val="52"/>
        </w:rPr>
      </w:pPr>
    </w:p>
    <w:p>
      <w:pPr>
        <w:jc w:val="center"/>
        <w:rPr>
          <w:rFonts w:ascii="宋体" w:hint="eastAsia"/>
          <w:sz w:val="44"/>
          <w:szCs w:val="44"/>
        </w:rPr>
      </w:pPr>
      <w:r>
        <w:rPr>
          <w:rFonts w:ascii="宋体" w:hint="eastAsia"/>
          <w:b/>
          <w:sz w:val="44"/>
          <w:szCs w:val="44"/>
        </w:rPr>
        <w:t>冷轧钢板和钢带</w:t>
      </w:r>
    </w:p>
    <w:p>
      <w:pPr>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rPr>
          <w:rFonts w:ascii="宋体" w:hint="eastAsia"/>
          <w:b/>
          <w:sz w:val="28"/>
          <w:szCs w:val="28"/>
        </w:rPr>
      </w:pPr>
    </w:p>
    <w:p>
      <w:pPr>
        <w:rPr>
          <w:rFonts w:ascii="宋体" w:hint="eastAsia"/>
          <w:b/>
          <w:sz w:val="28"/>
          <w:szCs w:val="28"/>
        </w:rPr>
      </w:pPr>
    </w:p>
    <w:p>
      <w:pP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bookmarkStart w:id="0" w:name="_GoBack"/>
      <w:bookmarkEnd w:id="0"/>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pStyle w:val="1"/>
        <w:spacing w:afterLines="0" w:after="156"/>
        <w:ind w:firstLineChars="0" w:firstLine="0"/>
        <w:rPr>
          <w:rFonts w:hint="eastAsia"/>
          <w:lang w:eastAsia="zh-CN"/>
        </w:rPr>
      </w:pPr>
      <w:r>
        <w:rPr>
          <w:rFonts w:hint="eastAsia"/>
          <w:lang w:eastAsia="zh-CN"/>
        </w:rPr>
        <w:t>1 范围</w:t>
      </w:r>
    </w:p>
    <w:p>
      <w:pPr>
        <w:pStyle w:val="16"/>
        <w:rPr>
          <w:rFonts w:hint="eastAsia"/>
          <w:spacing w:val="5"/>
          <w:w w:val="110"/>
          <w:sz w:val="21"/>
          <w:szCs w:val="21"/>
          <w:lang w:eastAsia="zh-CN"/>
        </w:rPr>
      </w:pPr>
      <w:r>
        <w:rPr>
          <w:rFonts w:hint="eastAsia"/>
          <w:spacing w:val="5"/>
          <w:w w:val="110"/>
          <w:sz w:val="21"/>
          <w:szCs w:val="21"/>
          <w:lang w:eastAsia="zh-CN"/>
        </w:rPr>
        <w:t>本细则适用于</w:t>
      </w:r>
      <w:r>
        <w:rPr>
          <w:spacing w:val="5"/>
          <w:w w:val="110"/>
          <w:sz w:val="21"/>
          <w:szCs w:val="21"/>
          <w:lang w:eastAsia="zh-CN"/>
        </w:rPr>
        <w:t>冷轧钢板和钢带</w:t>
      </w:r>
      <w:r>
        <w:rPr>
          <w:rFonts w:hint="eastAsia"/>
          <w:spacing w:val="5"/>
          <w:w w:val="110"/>
          <w:sz w:val="21"/>
          <w:szCs w:val="21"/>
          <w:lang w:eastAsia="zh-CN"/>
        </w:rPr>
        <w:t>产品质量监督抽查，针对特殊情况的市级监督专项抽查、县级以上地方质量技术监督部门组织的地方监督抽查可参照执行。监督抽查产品为</w:t>
      </w:r>
      <w:r>
        <w:rPr>
          <w:spacing w:val="5"/>
          <w:w w:val="110"/>
          <w:sz w:val="21"/>
          <w:szCs w:val="21"/>
          <w:lang w:eastAsia="zh-CN"/>
        </w:rPr>
        <w:t>冷轧钢板和钢带</w:t>
      </w:r>
      <w:r>
        <w:rPr>
          <w:rFonts w:hint="eastAsia"/>
          <w:spacing w:val="5"/>
          <w:w w:val="110"/>
          <w:sz w:val="21"/>
          <w:szCs w:val="21"/>
          <w:lang w:eastAsia="zh-CN"/>
        </w:rPr>
        <w:t>。本细则内容包括检验依据、抽样、检验要求、判定原则、异议处理及附则。</w:t>
      </w:r>
    </w:p>
    <w:p>
      <w:pPr>
        <w:pStyle w:val="1"/>
        <w:spacing w:afterLines="0" w:after="156"/>
        <w:ind w:firstLineChars="0" w:firstLine="0"/>
        <w:rPr>
          <w:rFonts w:hint="eastAsia"/>
          <w:lang w:eastAsia="zh-CN"/>
        </w:rPr>
      </w:pPr>
      <w:r>
        <w:rPr>
          <w:rFonts w:hint="eastAsia"/>
          <w:lang w:eastAsia="zh-CN"/>
        </w:rPr>
        <w:t>2 检验依据</w:t>
      </w:r>
    </w:p>
    <w:p>
      <w:pPr>
        <w:pStyle w:val="16"/>
        <w:rPr>
          <w:rFonts w:hint="eastAsia"/>
          <w:spacing w:val="5"/>
          <w:w w:val="110"/>
          <w:sz w:val="21"/>
          <w:szCs w:val="21"/>
          <w:lang w:eastAsia="zh-CN"/>
        </w:rPr>
      </w:pPr>
      <w:r>
        <w:rPr>
          <w:rFonts w:hint="eastAsia"/>
          <w:spacing w:val="5"/>
          <w:w w:val="110"/>
          <w:sz w:val="21"/>
          <w:szCs w:val="21"/>
          <w:lang w:eastAsia="zh-CN"/>
        </w:rPr>
        <w:t>凡是注日期的文件，其随后所有的修改单（不包括勘误的内容）或修订版不适用于本细则。凡是不注日期的文件，其最新版本适用于本细则。</w:t>
      </w:r>
    </w:p>
    <w:p>
      <w:pPr>
        <w:pStyle w:val="16"/>
        <w:rPr>
          <w:rFonts w:hint="eastAsia"/>
          <w:spacing w:val="5"/>
          <w:w w:val="110"/>
          <w:sz w:val="21"/>
          <w:szCs w:val="21"/>
          <w:lang w:eastAsia="zh-CN"/>
        </w:rPr>
      </w:pPr>
      <w:r>
        <w:rPr>
          <w:rFonts w:hint="eastAsia"/>
          <w:spacing w:val="5"/>
          <w:w w:val="110"/>
          <w:sz w:val="21"/>
          <w:szCs w:val="21"/>
          <w:lang w:eastAsia="zh-CN"/>
        </w:rPr>
        <w:t xml:space="preserve">GB/T </w:t>
      </w:r>
      <w:r>
        <w:rPr>
          <w:spacing w:val="5"/>
          <w:w w:val="110"/>
          <w:sz w:val="21"/>
          <w:szCs w:val="21"/>
          <w:lang w:eastAsia="zh-CN"/>
        </w:rPr>
        <w:t>13237 《优质碳素结构钢冷轧钢板和钢带》</w:t>
      </w:r>
    </w:p>
    <w:p>
      <w:pPr>
        <w:pStyle w:val="16"/>
        <w:ind w:leftChars="228" w:left="1925" w:hangingChars="600" w:hanging="1446"/>
        <w:rPr>
          <w:spacing w:val="5"/>
          <w:w w:val="110"/>
          <w:sz w:val="21"/>
          <w:szCs w:val="21"/>
          <w:lang w:eastAsia="zh-CN"/>
        </w:rPr>
      </w:pPr>
      <w:r>
        <w:rPr>
          <w:rFonts w:hint="eastAsia"/>
          <w:spacing w:val="5"/>
          <w:w w:val="110"/>
          <w:sz w:val="21"/>
          <w:szCs w:val="21"/>
          <w:lang w:eastAsia="zh-CN"/>
        </w:rPr>
        <w:t xml:space="preserve">GB/T 4336 </w:t>
      </w:r>
      <w:r>
        <w:rPr>
          <w:spacing w:val="5"/>
          <w:w w:val="110"/>
          <w:sz w:val="21"/>
          <w:szCs w:val="21"/>
          <w:lang w:eastAsia="zh-CN"/>
        </w:rPr>
        <w:t xml:space="preserve"> 《</w:t>
      </w:r>
      <w:r>
        <w:rPr>
          <w:rFonts w:hint="eastAsia"/>
          <w:spacing w:val="5"/>
          <w:w w:val="110"/>
          <w:sz w:val="21"/>
          <w:szCs w:val="21"/>
          <w:lang w:eastAsia="zh-CN"/>
        </w:rPr>
        <w:t>碳素钢和中低合金钢 多元素含量的测定 火花放电原子发射光谱法（常规法）</w:t>
      </w:r>
      <w:r>
        <w:rPr>
          <w:spacing w:val="5"/>
          <w:w w:val="110"/>
          <w:sz w:val="21"/>
          <w:szCs w:val="21"/>
          <w:lang w:eastAsia="zh-CN"/>
        </w:rPr>
        <w:t>》</w:t>
      </w:r>
    </w:p>
    <w:p>
      <w:pPr>
        <w:pStyle w:val="15"/>
        <w:tabs>
          <w:tab w:val="center" w:pos="4153"/>
          <w:tab w:val="right" w:pos="8306"/>
        </w:tabs>
        <w:rPr>
          <w:rFonts w:ascii="宋体" w:hint="eastAsia"/>
          <w:spacing w:val="5"/>
          <w:w w:val="110"/>
          <w:sz w:val="21"/>
          <w:szCs w:val="21"/>
        </w:rPr>
      </w:pPr>
      <w:r>
        <w:t xml:space="preserve">    </w:t>
      </w:r>
      <w:r>
        <w:rPr>
          <w:rFonts w:ascii="宋体" w:cs="宋体" w:hint="eastAsia"/>
          <w:sz w:val="21"/>
          <w:szCs w:val="21"/>
          <w:lang w:bidi="ar-SA"/>
        </w:rPr>
        <w:t xml:space="preserve"> </w:t>
      </w:r>
      <w:r>
        <w:rPr>
          <w:rFonts w:ascii="宋体" w:hint="eastAsia"/>
          <w:spacing w:val="5"/>
          <w:w w:val="110"/>
          <w:sz w:val="21"/>
          <w:szCs w:val="21"/>
        </w:rPr>
        <w:t>GB/T 228.1 《金属材料 拉伸试验 第1部分：室温试验方法》</w:t>
      </w:r>
    </w:p>
    <w:p>
      <w:pPr>
        <w:pStyle w:val="16"/>
        <w:rPr>
          <w:rFonts w:hint="eastAsia"/>
          <w:spacing w:val="5"/>
          <w:w w:val="110"/>
          <w:sz w:val="21"/>
          <w:szCs w:val="21"/>
          <w:lang w:eastAsia="zh-CN"/>
        </w:rPr>
      </w:pPr>
      <w:r>
        <w:rPr>
          <w:rFonts w:hint="eastAsia"/>
          <w:spacing w:val="5"/>
          <w:w w:val="110"/>
          <w:sz w:val="21"/>
          <w:szCs w:val="21"/>
          <w:lang w:eastAsia="zh-CN"/>
        </w:rPr>
        <w:t>相关的法律法规、部门规章和细则。</w:t>
      </w:r>
    </w:p>
    <w:p>
      <w:pPr>
        <w:pStyle w:val="16"/>
        <w:rPr>
          <w:rFonts w:hint="eastAsia"/>
          <w:spacing w:val="5"/>
          <w:w w:val="110"/>
          <w:sz w:val="21"/>
          <w:szCs w:val="21"/>
          <w:lang w:eastAsia="zh-CN"/>
        </w:rPr>
      </w:pPr>
      <w:r>
        <w:rPr>
          <w:rFonts w:hint="eastAsia"/>
          <w:spacing w:val="5"/>
          <w:w w:val="110"/>
          <w:sz w:val="21"/>
          <w:szCs w:val="21"/>
          <w:lang w:eastAsia="zh-CN"/>
        </w:rPr>
        <w:t>经备案现行有效的企业标准及产品明示质量要求</w:t>
      </w:r>
    </w:p>
    <w:p>
      <w:pPr>
        <w:pStyle w:val="1"/>
        <w:spacing w:afterLines="0" w:after="156"/>
        <w:ind w:firstLineChars="0" w:firstLine="0"/>
        <w:rPr>
          <w:rFonts w:hint="eastAsia"/>
          <w:lang w:eastAsia="zh-CN"/>
        </w:rPr>
      </w:pPr>
      <w:r>
        <w:rPr>
          <w:rFonts w:hint="eastAsia"/>
          <w:lang w:eastAsia="zh-CN"/>
        </w:rPr>
        <w:t>3 抽样</w:t>
      </w:r>
    </w:p>
    <w:p>
      <w:pPr>
        <w:pStyle w:val="2"/>
        <w:ind w:firstLineChars="0" w:firstLine="0"/>
        <w:rPr>
          <w:rFonts w:hint="eastAsia"/>
          <w:w w:val="110"/>
          <w:szCs w:val="24"/>
          <w:lang w:eastAsia="zh-CN"/>
        </w:rPr>
      </w:pPr>
      <w:r>
        <w:rPr>
          <w:rFonts w:hint="eastAsia"/>
          <w:w w:val="110"/>
          <w:szCs w:val="24"/>
          <w:lang w:eastAsia="zh-CN"/>
        </w:rPr>
        <w:t>3.1 抽样产品</w:t>
      </w:r>
    </w:p>
    <w:p>
      <w:pPr>
        <w:pStyle w:val="16"/>
        <w:rPr>
          <w:rFonts w:hint="eastAsia"/>
          <w:spacing w:val="5"/>
          <w:w w:val="110"/>
          <w:sz w:val="21"/>
          <w:szCs w:val="21"/>
          <w:lang w:eastAsia="zh-CN"/>
        </w:rPr>
      </w:pPr>
      <w:r>
        <w:rPr>
          <w:rFonts w:hint="eastAsia"/>
          <w:spacing w:val="5"/>
          <w:w w:val="110"/>
          <w:sz w:val="21"/>
          <w:szCs w:val="21"/>
          <w:lang w:eastAsia="zh-CN"/>
        </w:rPr>
        <w:t>抽取产品应为同一炉批号的产品，有多种产品时，优先抽取主导牌号的产品。</w:t>
      </w:r>
    </w:p>
    <w:p>
      <w:pPr>
        <w:pStyle w:val="2"/>
        <w:ind w:firstLineChars="0" w:firstLine="0"/>
        <w:rPr>
          <w:rFonts w:hint="eastAsia"/>
          <w:w w:val="110"/>
          <w:szCs w:val="24"/>
          <w:lang w:eastAsia="zh-CN"/>
        </w:rPr>
      </w:pPr>
      <w:r>
        <w:rPr>
          <w:rFonts w:hint="eastAsia"/>
          <w:w w:val="110"/>
          <w:szCs w:val="24"/>
          <w:lang w:eastAsia="zh-CN"/>
        </w:rPr>
        <w:t>3.2 抽样方法、基数及数量</w:t>
      </w:r>
    </w:p>
    <w:p>
      <w:pPr>
        <w:pStyle w:val="16"/>
        <w:rPr>
          <w:rFonts w:hint="eastAsia"/>
          <w:spacing w:val="5"/>
          <w:w w:val="110"/>
          <w:sz w:val="21"/>
          <w:szCs w:val="21"/>
          <w:lang w:eastAsia="zh-CN"/>
        </w:rPr>
      </w:pPr>
      <w:r>
        <w:rPr>
          <w:rFonts w:hint="eastAsia"/>
          <w:spacing w:val="5"/>
          <w:w w:val="110"/>
          <w:sz w:val="21"/>
          <w:szCs w:val="21"/>
          <w:lang w:eastAsia="zh-CN"/>
        </w:rPr>
        <w:t>随机抽取经被抽查企业检验合格或以任何方式表明合格的产品。</w:t>
      </w:r>
    </w:p>
    <w:p>
      <w:pPr>
        <w:pStyle w:val="16"/>
        <w:rPr>
          <w:rFonts w:hint="eastAsia"/>
          <w:spacing w:val="5"/>
          <w:w w:val="110"/>
          <w:sz w:val="21"/>
          <w:szCs w:val="21"/>
          <w:lang w:eastAsia="zh-CN"/>
        </w:rPr>
      </w:pPr>
      <w:r>
        <w:rPr>
          <w:rFonts w:hint="eastAsia"/>
          <w:spacing w:val="5"/>
          <w:w w:val="110"/>
          <w:sz w:val="21"/>
          <w:szCs w:val="21"/>
          <w:lang w:eastAsia="zh-CN"/>
        </w:rPr>
        <w:t>随机抽取同一炉批号钢坯一块，在该块钢坯上截取2块长度为</w:t>
      </w:r>
      <w:r>
        <w:rPr>
          <w:spacing w:val="5"/>
          <w:w w:val="110"/>
          <w:sz w:val="21"/>
          <w:szCs w:val="21"/>
          <w:lang w:eastAsia="zh-CN"/>
        </w:rPr>
        <w:t>5</w:t>
      </w:r>
      <w:r>
        <w:rPr>
          <w:rFonts w:hint="eastAsia"/>
          <w:spacing w:val="5"/>
          <w:w w:val="110"/>
          <w:sz w:val="21"/>
          <w:szCs w:val="21"/>
          <w:lang w:eastAsia="zh-CN"/>
        </w:rPr>
        <w:t>00mm的样品，2块样品均应编号标记，并一一对应(如1-a，1-b)。标记a的样品为检验样品，标记b的样品为备用样品。</w:t>
      </w:r>
    </w:p>
    <w:p>
      <w:pPr>
        <w:pStyle w:val="2"/>
        <w:ind w:firstLineChars="0" w:firstLine="0"/>
        <w:rPr>
          <w:rFonts w:hint="eastAsia"/>
          <w:w w:val="110"/>
          <w:szCs w:val="24"/>
          <w:lang w:eastAsia="zh-CN"/>
        </w:rPr>
      </w:pPr>
      <w:r>
        <w:rPr>
          <w:rFonts w:hint="eastAsia"/>
          <w:w w:val="110"/>
          <w:szCs w:val="24"/>
          <w:lang w:eastAsia="zh-CN"/>
        </w:rPr>
        <w:t>3.3 样品处置</w:t>
      </w:r>
    </w:p>
    <w:p>
      <w:pPr>
        <w:pStyle w:val="16"/>
        <w:rPr>
          <w:rFonts w:hint="eastAsia"/>
          <w:spacing w:val="-1"/>
          <w:w w:val="104"/>
          <w:szCs w:val="24"/>
          <w:lang w:eastAsia="zh-CN"/>
        </w:rPr>
      </w:pPr>
      <w:r>
        <w:rPr>
          <w:rFonts w:hint="eastAsia"/>
          <w:spacing w:val="5"/>
          <w:w w:val="110"/>
          <w:sz w:val="21"/>
          <w:szCs w:val="21"/>
          <w:lang w:eastAsia="zh-CN"/>
        </w:rPr>
        <w:t>样品由抽样单位送到检验机构，备用样品由检验机构存放。样品到达后，由检验机构接收样品人员目视查验包裹是否有破损、封条是否完好等，并留存样品接收记录、影像资料等。</w:t>
      </w:r>
    </w:p>
    <w:p>
      <w:pPr>
        <w:pStyle w:val="2"/>
        <w:ind w:firstLineChars="0" w:firstLine="0"/>
        <w:rPr>
          <w:rFonts w:hint="eastAsia"/>
          <w:w w:val="110"/>
          <w:szCs w:val="24"/>
          <w:lang w:eastAsia="zh-CN"/>
        </w:rPr>
      </w:pPr>
      <w:r>
        <w:rPr>
          <w:rFonts w:hint="eastAsia"/>
          <w:w w:val="110"/>
          <w:szCs w:val="24"/>
          <w:lang w:eastAsia="zh-CN"/>
        </w:rPr>
        <w:t>3.4 抽样单</w:t>
      </w:r>
    </w:p>
    <w:p>
      <w:pPr>
        <w:pStyle w:val="16"/>
        <w:rPr>
          <w:rFonts w:hint="eastAsia"/>
          <w:spacing w:val="5"/>
          <w:w w:val="110"/>
          <w:sz w:val="21"/>
          <w:szCs w:val="21"/>
          <w:lang w:eastAsia="zh-CN"/>
        </w:rPr>
      </w:pPr>
      <w:r>
        <w:rPr>
          <w:rFonts w:hint="eastAsia"/>
          <w:spacing w:val="5"/>
          <w:w w:val="110"/>
          <w:sz w:val="21"/>
          <w:szCs w:val="21"/>
          <w:lang w:eastAsia="zh-CN"/>
        </w:rPr>
        <w:t>应按有关规定填写抽样单、并记录被抽查产品及企业相关信息。</w:t>
      </w:r>
    </w:p>
    <w:p>
      <w:pPr>
        <w:pStyle w:val="1"/>
        <w:spacing w:afterLines="0" w:after="156"/>
        <w:ind w:firstLineChars="0" w:firstLine="0"/>
        <w:rPr>
          <w:rFonts w:hint="eastAsia"/>
          <w:lang w:eastAsia="zh-CN"/>
        </w:rPr>
      </w:pPr>
      <w:r>
        <w:rPr>
          <w:rFonts w:hint="eastAsia"/>
          <w:lang w:eastAsia="zh-CN"/>
        </w:rPr>
        <w:t>4 检验要求</w:t>
      </w:r>
    </w:p>
    <w:p>
      <w:pPr>
        <w:pStyle w:val="2"/>
        <w:ind w:firstLineChars="0" w:firstLine="0"/>
        <w:rPr>
          <w:rFonts w:hint="eastAsia"/>
          <w:w w:val="110"/>
          <w:szCs w:val="24"/>
          <w:lang w:eastAsia="zh-CN"/>
        </w:rPr>
      </w:pPr>
      <w:r>
        <w:rPr>
          <w:rFonts w:hint="eastAsia"/>
          <w:w w:val="110"/>
          <w:szCs w:val="24"/>
          <w:lang w:eastAsia="zh-CN"/>
        </w:rPr>
        <w:t>4.1 检验项目及重要程度分类</w:t>
      </w:r>
    </w:p>
    <w:p>
      <w:pPr>
        <w:pStyle w:val="16"/>
        <w:rPr>
          <w:rFonts w:hint="eastAsia"/>
          <w:spacing w:val="5"/>
          <w:w w:val="110"/>
          <w:sz w:val="21"/>
          <w:szCs w:val="21"/>
          <w:lang w:eastAsia="zh-CN"/>
        </w:rPr>
      </w:pPr>
      <w:r>
        <w:rPr>
          <w:rFonts w:hint="eastAsia"/>
          <w:spacing w:val="5"/>
          <w:w w:val="110"/>
          <w:sz w:val="21"/>
          <w:szCs w:val="21"/>
          <w:lang w:eastAsia="zh-CN"/>
        </w:rPr>
        <w:t>检验项目及重要程度分类见表1。</w:t>
      </w:r>
    </w:p>
    <w:p>
      <w:pPr>
        <w:jc w:val="center"/>
        <w:rPr>
          <w:rFonts w:hint="eastAsia"/>
          <w:b/>
          <w:spacing w:val="30"/>
          <w:sz w:val="21"/>
          <w:szCs w:val="21"/>
          <w:lang w:eastAsia="zh-CN"/>
        </w:rPr>
      </w:pPr>
    </w:p>
    <w:p>
      <w:pPr>
        <w:jc w:val="center"/>
        <w:rPr>
          <w:rFonts w:hint="eastAsia"/>
          <w:b/>
          <w:spacing w:val="-1"/>
          <w:w w:val="104"/>
          <w:sz w:val="21"/>
          <w:szCs w:val="21"/>
          <w:lang w:eastAsia="zh-CN"/>
        </w:rPr>
      </w:pPr>
      <w:r>
        <w:rPr>
          <w:rFonts w:hint="eastAsia"/>
          <w:b/>
          <w:spacing w:val="30"/>
          <w:sz w:val="21"/>
          <w:szCs w:val="21"/>
          <w:lang w:eastAsia="zh-CN"/>
        </w:rPr>
        <w:t>表1 检验项目及重要程度分类</w:t>
      </w:r>
    </w:p>
    <w:tbl>
      <w:tblPr>
        <w:jc w:val="center"/>
        <w:tblW w:w="7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72"/>
        <w:gridCol w:w="1106"/>
        <w:gridCol w:w="2206"/>
        <w:gridCol w:w="1945"/>
        <w:gridCol w:w="1934"/>
      </w:tblGrid>
      <w:tr>
        <w:trPr>
          <w:trHeight w:val="946"/>
          <w:tblHeader/>
        </w:trPr>
        <w:tc>
          <w:tcPr>
            <w:tcW w:w="472"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序号</w:t>
            </w:r>
          </w:p>
        </w:tc>
        <w:tc>
          <w:tcPr>
            <w:tcW w:w="3312" w:type="dxa"/>
            <w:gridSpan w:val="2"/>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检验项目</w:t>
            </w:r>
          </w:p>
        </w:tc>
        <w:tc>
          <w:tcPr>
            <w:tcW w:w="1945"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依据标准</w:t>
            </w:r>
          </w:p>
        </w:tc>
        <w:tc>
          <w:tcPr>
            <w:tcW w:w="1934"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检测方法</w:t>
            </w:r>
          </w:p>
        </w:tc>
      </w:tr>
      <w:tr>
        <w:trPr>
          <w:trHeight w:val="302"/>
        </w:trPr>
        <w:tc>
          <w:tcPr>
            <w:tcW w:w="472" w:type="dxa"/>
            <w:vMerge w:val="restart"/>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1</w:t>
            </w:r>
          </w:p>
        </w:tc>
        <w:tc>
          <w:tcPr>
            <w:tcW w:w="1106" w:type="dxa"/>
            <w:vMerge w:val="restart"/>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力学性能</w:t>
            </w:r>
          </w:p>
        </w:tc>
        <w:tc>
          <w:tcPr>
            <w:tcW w:w="2206" w:type="dxa"/>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抗拉强度（N/mm</w:t>
            </w:r>
            <w:r>
              <w:rPr>
                <w:rFonts w:ascii="仿宋_GB2312" w:eastAsia="宋体" w:cs="仿宋_GB2312" w:hAnsi="仿宋_GB2312" w:hint="eastAsia"/>
                <w:kern w:val="2"/>
                <w:sz w:val="21"/>
                <w:szCs w:val="21"/>
                <w:lang w:eastAsia="zh-CN" w:bidi="ar-SA"/>
              </w:rPr>
              <w:t>²</w:t>
            </w:r>
            <w:r>
              <w:rPr>
                <w:rFonts w:ascii="仿宋_GB2312" w:eastAsia="仿宋_GB2312" w:cs="仿宋_GB2312" w:hint="eastAsia"/>
                <w:kern w:val="2"/>
                <w:sz w:val="21"/>
                <w:szCs w:val="21"/>
                <w:lang w:eastAsia="zh-CN" w:bidi="ar-SA"/>
              </w:rPr>
              <w:t>）</w:t>
            </w:r>
          </w:p>
        </w:tc>
        <w:tc>
          <w:tcPr>
            <w:tcW w:w="1945" w:type="dxa"/>
            <w:vMerge w:val="restart"/>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13237</w:t>
            </w:r>
          </w:p>
        </w:tc>
        <w:tc>
          <w:tcPr>
            <w:tcW w:w="1934" w:type="dxa"/>
            <w:vMerge w:val="restart"/>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228.1</w:t>
            </w: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断后伸长率（%）</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2</w:t>
            </w:r>
          </w:p>
        </w:tc>
        <w:tc>
          <w:tcPr>
            <w:tcW w:w="1106"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kern w:val="2"/>
                <w:sz w:val="21"/>
                <w:szCs w:val="21"/>
                <w:lang w:eastAsia="zh-CN" w:bidi="ar-SA"/>
              </w:rPr>
            </w:pPr>
            <w:r>
              <w:rPr>
                <w:rFonts w:ascii="仿宋_GB2312" w:eastAsia="仿宋_GB2312" w:cs="仿宋_GB2312" w:hint="eastAsia"/>
                <w:kern w:val="2"/>
                <w:sz w:val="21"/>
                <w:szCs w:val="21"/>
                <w:lang w:eastAsia="zh-CN" w:bidi="ar-SA"/>
              </w:rPr>
              <w:t>化学成分</w:t>
            </w: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C</w:t>
            </w:r>
          </w:p>
        </w:tc>
        <w:tc>
          <w:tcPr>
            <w:tcW w:w="1945" w:type="dxa"/>
            <w:vMerge w:val="restart"/>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13237</w:t>
            </w:r>
          </w:p>
        </w:tc>
        <w:tc>
          <w:tcPr>
            <w:tcW w:w="1934"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4336</w:t>
            </w: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Si</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Mn</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P</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S</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Ni</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Cr</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Cu</w:t>
            </w:r>
          </w:p>
        </w:tc>
        <w:tc>
          <w:tcPr>
            <w:tcW w:w="1945" w:type="dxa"/>
            <w:vMerge/>
            <w:tcBorders>
              <w:tl2br w:val="nil"/>
              <w:tr2bl w:val="nil"/>
            </w:tcBorders>
            <w:vAlign w:val="center"/>
          </w:tcPr>
          <w:p/>
        </w:tc>
        <w:tc>
          <w:tcPr>
            <w:tcW w:w="1934" w:type="dxa"/>
            <w:vMerge/>
            <w:tcBorders>
              <w:tl2br w:val="nil"/>
              <w:tr2bl w:val="nil"/>
            </w:tcBorders>
            <w:vAlign w:val="center"/>
          </w:tcPr>
          <w:p/>
        </w:tc>
      </w:tr>
    </w:tbl>
    <w:p>
      <w:pPr>
        <w:pStyle w:val="1"/>
        <w:spacing w:afterLines="0" w:after="156"/>
        <w:ind w:firstLineChars="0" w:firstLine="0"/>
        <w:rPr>
          <w:rFonts w:hint="eastAsia"/>
          <w:lang w:eastAsia="zh-CN"/>
        </w:rPr>
      </w:pPr>
      <w:r>
        <w:rPr>
          <w:rFonts w:hint="eastAsia"/>
          <w:lang w:eastAsia="zh-CN"/>
        </w:rPr>
        <w:t>5 判定原则</w:t>
      </w:r>
    </w:p>
    <w:p>
      <w:pPr>
        <w:pStyle w:val="16"/>
        <w:rPr>
          <w:spacing w:val="5"/>
          <w:w w:val="110"/>
          <w:sz w:val="21"/>
          <w:szCs w:val="21"/>
          <w:lang w:eastAsia="zh-CN"/>
        </w:rPr>
      </w:pPr>
      <w:r>
        <w:rPr>
          <w:spacing w:val="5"/>
          <w:w w:val="110"/>
          <w:sz w:val="21"/>
          <w:szCs w:val="21"/>
          <w:lang w:eastAsia="zh-CN"/>
        </w:rPr>
        <w:t>力学性能：</w:t>
      </w:r>
      <w:r>
        <w:rPr>
          <w:rFonts w:hint="eastAsia"/>
          <w:spacing w:val="5"/>
          <w:w w:val="110"/>
          <w:sz w:val="21"/>
          <w:szCs w:val="21"/>
          <w:lang w:eastAsia="zh-CN"/>
        </w:rPr>
        <w:t>每批检验样本量n=1</w:t>
      </w:r>
      <w:r>
        <w:rPr>
          <w:spacing w:val="5"/>
          <w:w w:val="110"/>
          <w:sz w:val="21"/>
          <w:szCs w:val="21"/>
          <w:lang w:eastAsia="zh-CN"/>
        </w:rPr>
        <w:t>；抗拉强度、断后伸长率任一指标不合格，判定被抽查产品不合格。</w:t>
      </w:r>
    </w:p>
    <w:p>
      <w:pPr>
        <w:pStyle w:val="16"/>
        <w:rPr>
          <w:rFonts w:hint="eastAsia"/>
          <w:spacing w:val="5"/>
          <w:w w:val="110"/>
          <w:sz w:val="21"/>
          <w:szCs w:val="21"/>
          <w:lang w:eastAsia="zh-CN"/>
        </w:rPr>
      </w:pPr>
      <w:r>
        <w:rPr>
          <w:spacing w:val="5"/>
          <w:w w:val="110"/>
          <w:sz w:val="21"/>
          <w:szCs w:val="21"/>
          <w:lang w:eastAsia="zh-CN"/>
        </w:rPr>
        <w:t>化学成分：</w:t>
      </w:r>
      <w:r>
        <w:rPr>
          <w:rFonts w:hint="eastAsia"/>
          <w:spacing w:val="5"/>
          <w:w w:val="110"/>
          <w:sz w:val="21"/>
          <w:szCs w:val="21"/>
          <w:lang w:eastAsia="zh-CN"/>
        </w:rPr>
        <w:t>每批检验样本量n=1；检验样品的C、Si、Mn、P、S</w:t>
      </w:r>
      <w:r>
        <w:rPr>
          <w:spacing w:val="5"/>
          <w:w w:val="110"/>
          <w:sz w:val="21"/>
          <w:szCs w:val="21"/>
          <w:lang w:eastAsia="zh-CN"/>
        </w:rPr>
        <w:t>、Ni、Cr、Cu</w:t>
      </w:r>
      <w:r>
        <w:rPr>
          <w:rFonts w:hint="eastAsia"/>
          <w:spacing w:val="5"/>
          <w:w w:val="110"/>
          <w:sz w:val="21"/>
          <w:szCs w:val="21"/>
          <w:lang w:eastAsia="zh-CN"/>
        </w:rPr>
        <w:t>指标。若有任一指标不合格，判定被抽查产品不合格，当所有指标合格时，判定被抽查产品合格。</w:t>
      </w:r>
    </w:p>
    <w:p>
      <w:pPr>
        <w:pStyle w:val="1"/>
        <w:spacing w:afterLines="0" w:after="156"/>
        <w:ind w:firstLineChars="0" w:firstLine="0"/>
        <w:rPr>
          <w:rFonts w:hint="eastAsia"/>
          <w:lang w:eastAsia="zh-CN"/>
        </w:rPr>
      </w:pPr>
      <w:r>
        <w:rPr>
          <w:rFonts w:hint="eastAsia"/>
          <w:lang w:eastAsia="zh-CN"/>
        </w:rPr>
        <w:t>6 异议复检处理</w:t>
      </w:r>
    </w:p>
    <w:p>
      <w:pPr>
        <w:pStyle w:val="16"/>
        <w:rPr>
          <w:rFonts w:hint="eastAsia"/>
          <w:spacing w:val="5"/>
          <w:w w:val="110"/>
          <w:sz w:val="21"/>
          <w:szCs w:val="21"/>
          <w:lang w:eastAsia="zh-CN"/>
        </w:rPr>
      </w:pPr>
      <w:r>
        <w:rPr>
          <w:rFonts w:hint="eastAsia"/>
          <w:spacing w:val="5"/>
          <w:w w:val="110"/>
          <w:sz w:val="21"/>
          <w:szCs w:val="21"/>
          <w:lang w:eastAsia="zh-CN"/>
        </w:rPr>
        <w:t>1.核查不合格项目相关证据，能够以记录（纸质记录或电子记录或影像记录）或与不合格项目相关联的其它质量数据等检验证据证明并得到企业认可，可以不复检。需要复检时，化学成分项目在原样上进行复检。</w:t>
      </w:r>
    </w:p>
    <w:p>
      <w:pPr>
        <w:pStyle w:val="16"/>
        <w:rPr>
          <w:rFonts w:hint="eastAsia"/>
          <w:spacing w:val="5"/>
          <w:w w:val="110"/>
          <w:sz w:val="21"/>
          <w:szCs w:val="21"/>
          <w:lang w:eastAsia="zh-CN"/>
        </w:rPr>
      </w:pPr>
      <w:r>
        <w:rPr>
          <w:rFonts w:hint="eastAsia"/>
          <w:spacing w:val="5"/>
          <w:w w:val="110"/>
          <w:sz w:val="21"/>
          <w:szCs w:val="21"/>
          <w:lang w:eastAsia="zh-CN"/>
        </w:rPr>
        <w:t>2.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pStyle w:val="16"/>
        <w:rPr>
          <w:rFonts w:hint="eastAsia"/>
          <w:spacing w:val="5"/>
          <w:w w:val="110"/>
          <w:sz w:val="21"/>
          <w:szCs w:val="21"/>
          <w:lang w:eastAsia="zh-CN"/>
        </w:rPr>
      </w:pPr>
      <w:r>
        <w:rPr>
          <w:rFonts w:hint="eastAsia"/>
          <w:spacing w:val="5"/>
          <w:w w:val="110"/>
          <w:sz w:val="21"/>
          <w:szCs w:val="21"/>
          <w:lang w:eastAsia="zh-CN"/>
        </w:rPr>
        <w:t>3.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rFonts w:hint="eastAsia"/>
          <w:lang w:eastAsia="zh-CN"/>
        </w:rPr>
        <w:t>7 附则</w:t>
      </w:r>
    </w:p>
    <w:p>
      <w:pPr>
        <w:pStyle w:val="16"/>
        <w:rPr>
          <w:rFonts w:hint="eastAsia"/>
          <w:spacing w:val="5"/>
          <w:w w:val="110"/>
          <w:sz w:val="21"/>
          <w:szCs w:val="21"/>
          <w:lang w:eastAsia="zh-CN"/>
        </w:rPr>
      </w:pPr>
      <w:r>
        <w:rPr>
          <w:rFonts w:hint="eastAsia"/>
          <w:spacing w:val="5"/>
          <w:w w:val="110"/>
          <w:sz w:val="21"/>
          <w:szCs w:val="21"/>
          <w:lang w:eastAsia="zh-CN"/>
        </w:rPr>
        <w:t>本细则编写单位：秦皇岛市质量技术监督检验所。</w:t>
      </w:r>
    </w:p>
    <w:p>
      <w:pPr>
        <w:snapToGrid w:val="0"/>
        <w:spacing w:line="300" w:lineRule="auto"/>
        <w:ind w:left="0" w:firstLineChars="200" w:firstLine="462"/>
        <w:rPr>
          <w:rFonts w:ascii="宋体" w:cs="宋体" w:hint="eastAsia"/>
          <w:w w:val="110"/>
          <w:szCs w:val="21"/>
          <w:lang w:bidi="ar-SA"/>
        </w:rPr>
      </w:pPr>
      <w:r>
        <w:rPr>
          <w:rFonts w:ascii="宋体" w:cs="宋体" w:hint="eastAsia"/>
          <w:w w:val="110"/>
          <w:szCs w:val="21"/>
          <w:lang w:bidi="ar-SA"/>
        </w:rPr>
        <w:t>本细则由秦皇岛市市场监督管理局产品质量安全监督管理科管理。</w:t>
      </w:r>
    </w:p>
    <w:p>
      <w:pPr>
        <w:snapToGrid w:val="0"/>
        <w:spacing w:line="300" w:lineRule="auto"/>
        <w:ind w:firstLineChars="200" w:firstLine="433"/>
        <w:rPr>
          <w:spacing w:val="-1"/>
          <w:w w:val="104"/>
        </w:rPr>
      </w:pP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paragraph" w:styleId="15">
    <w:name w:val="footer"/>
    <w:basedOn w:val="0"/>
    <w:pPr>
      <w:widowControl w:val="0"/>
      <w:tabs>
        <w:tab w:val="center" w:pos="4153"/>
        <w:tab w:val="right" w:pos="8306"/>
      </w:tabs>
      <w:snapToGrid w:val="0"/>
      <w:jc w:val="left"/>
    </w:pPr>
    <w:rPr>
      <w:rFonts w:ascii="Times New Roman" w:eastAsia="宋体" w:cs="Times New Roman" w:hAnsi="Times New Roman"/>
      <w:kern w:val="2"/>
      <w:sz w:val="18"/>
      <w:szCs w:val="18"/>
      <w:lang w:val="en-US" w:eastAsia="zh-CN" w:bidi="ar-SA"/>
    </w:rPr>
  </w:style>
  <w:style w:type="paragraph" w:styleId="16">
    <w:name w:val="Body Text"/>
    <w:basedOn w:val="0"/>
    <w:pPr>
      <w:widowControl w:val="0"/>
      <w:autoSpaceDE w:val="0"/>
      <w:autoSpaceDN w:val="0"/>
      <w:spacing w:line="300" w:lineRule="auto"/>
      <w:ind w:firstLineChars="200" w:firstLine="200"/>
      <w:jc w:val="both"/>
    </w:pPr>
    <w:rPr>
      <w:rFonts w:ascii="宋体" w:eastAsia="宋体" w:cs="宋体" w:hAnsi="Times New Roman"/>
      <w:kern w:val="2"/>
      <w:sz w:val="18"/>
      <w:szCs w:val="18"/>
      <w:lang w:val="en-US"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ABE2C344-04FE-43D4-A00E-81FD9A776DA4}">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1</TotalTime>
  <Application>Yozo_Office27021597764231179</Application>
  <Pages>4</Pages>
  <Words>0</Words>
  <Characters>1209</Characters>
  <Lines>0</Lines>
  <Paragraphs>58</Paragraphs>
  <CharactersWithSpaces>1612</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2025-03-04T07:21:58Z</dcterms:created>
  <dcterms:modified xsi:type="dcterms:W3CDTF">2025-03-06T06:33:58Z</dcterms:modified>
</cp:coreProperties>
</file>