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-219075</wp:posOffset>
                </wp:positionH>
                <wp:positionV relativeFrom="paragraph">
                  <wp:posOffset>552447</wp:posOffset>
                </wp:positionV>
                <wp:extent cx="5819775"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19775"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7.250057pt,43.499805pt" to="440.99997pt,43.49980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hint="eastAsia"/>
          <w:b/>
          <w:sz w:val="52"/>
          <w:szCs w:val="52"/>
        </w:rPr>
      </w:pPr>
    </w:p>
    <w:p>
      <w:pPr>
        <w:jc w:val="center"/>
        <w:rPr>
          <w:rFonts w:ascii="宋体" w:hint="eastAsia"/>
          <w:b/>
          <w:bCs/>
          <w:sz w:val="44"/>
          <w:szCs w:val="44"/>
        </w:rPr>
      </w:pPr>
      <w:r>
        <w:rPr>
          <w:rFonts w:ascii="宋体" w:hint="eastAsia"/>
          <w:b/>
          <w:bCs/>
          <w:sz w:val="44"/>
          <w:szCs w:val="44"/>
        </w:rPr>
        <w:t>阀门</w:t>
      </w: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beforeLines="50" w:before="156" w:afterLines="0" w:after="156"/>
        <w:ind w:firstLineChars="0" w:firstLine="0"/>
        <w:rPr>
          <w:rFonts w:hint="eastAsia"/>
          <w:lang w:eastAsia="zh-CN"/>
        </w:rPr>
      </w:pPr>
      <w:r>
        <w:rPr>
          <w:rFonts w:hint="eastAsia"/>
          <w:lang w:eastAsia="zh-CN"/>
        </w:rPr>
        <w:t>1 范围</w:t>
      </w:r>
    </w:p>
    <w:p>
      <w:pPr>
        <w:pStyle w:val="16"/>
        <w:rPr>
          <w:rFonts w:hint="eastAsia"/>
          <w:color w:val="525254"/>
          <w:w w:val="110"/>
          <w:sz w:val="21"/>
          <w:szCs w:val="21"/>
          <w:lang w:eastAsia="zh-CN"/>
        </w:rPr>
      </w:pPr>
      <w:r>
        <w:rPr>
          <w:rFonts w:hint="eastAsia"/>
          <w:spacing w:val="-6"/>
          <w:w w:val="110"/>
          <w:sz w:val="21"/>
          <w:szCs w:val="21"/>
          <w:lang w:eastAsia="zh-CN" w:bidi="ar-SA"/>
        </w:rPr>
        <w:t>本细则适用于</w:t>
      </w:r>
      <w:r>
        <w:rPr>
          <w:spacing w:val="-6"/>
          <w:w w:val="110"/>
          <w:sz w:val="21"/>
          <w:szCs w:val="21"/>
          <w:lang w:eastAsia="zh-CN" w:bidi="ar-SA"/>
        </w:rPr>
        <w:t>热风阀、闸阀、球阀、截止阀、止回阀、蝶阀等产品的</w:t>
      </w:r>
      <w:r>
        <w:rPr>
          <w:rFonts w:hint="eastAsia"/>
          <w:spacing w:val="-6"/>
          <w:w w:val="110"/>
          <w:sz w:val="21"/>
          <w:szCs w:val="21"/>
          <w:lang w:eastAsia="zh-CN" w:bidi="ar-SA"/>
        </w:rPr>
        <w:t>质量监督抽查，针对特殊情况的市级监督专项抽查、县级以上地方质量技术监督部门组织的地方监督抽查可参照执行。</w:t>
      </w:r>
      <w:r>
        <w:rPr>
          <w:rFonts w:hint="eastAsia"/>
          <w:spacing w:val="-6"/>
          <w:w w:val="110"/>
          <w:sz w:val="21"/>
          <w:szCs w:val="21"/>
          <w:lang w:eastAsia="zh-CN"/>
        </w:rPr>
        <w:t>本</w:t>
      </w:r>
      <w:r>
        <w:rPr>
          <w:rFonts w:hint="eastAsia"/>
          <w:spacing w:val="-1"/>
          <w:w w:val="104"/>
          <w:sz w:val="21"/>
          <w:szCs w:val="21"/>
          <w:lang w:eastAsia="zh-CN"/>
        </w:rPr>
        <w:t>细则内容包括检验依据、抽样、检验要求、判定原则、异</w:t>
      </w:r>
      <w:r>
        <w:rPr>
          <w:rFonts w:hint="eastAsia"/>
          <w:w w:val="110"/>
          <w:sz w:val="21"/>
          <w:szCs w:val="21"/>
          <w:lang w:eastAsia="zh-CN"/>
        </w:rPr>
        <w:t>议处理及附则</w:t>
      </w:r>
      <w:r>
        <w:rPr>
          <w:rFonts w:hint="eastAsia"/>
          <w:color w:val="525254"/>
          <w:w w:val="110"/>
          <w:sz w:val="21"/>
          <w:szCs w:val="21"/>
          <w:lang w:eastAsia="zh-CN"/>
        </w:rPr>
        <w:t>。</w:t>
      </w:r>
    </w:p>
    <w:p>
      <w:pPr>
        <w:pStyle w:val="1"/>
        <w:spacing w:beforeLines="50" w:before="156" w:afterLines="0" w:after="156"/>
        <w:ind w:firstLineChars="0" w:firstLine="0"/>
        <w:rPr>
          <w:rFonts w:hint="eastAsia"/>
          <w:lang w:eastAsia="zh-CN"/>
        </w:rPr>
      </w:pPr>
      <w:r>
        <w:rPr>
          <w:rFonts w:hint="eastAsia"/>
          <w:lang w:eastAsia="zh-CN"/>
        </w:rPr>
        <w:t>2 检验依据</w:t>
      </w:r>
    </w:p>
    <w:p>
      <w:pPr>
        <w:pStyle w:val="16"/>
        <w:rPr>
          <w:rFonts w:hint="eastAsia"/>
          <w:spacing w:val="-6"/>
          <w:w w:val="110"/>
          <w:sz w:val="21"/>
          <w:szCs w:val="21"/>
          <w:lang w:eastAsia="zh-CN"/>
        </w:rPr>
      </w:pPr>
      <w:r>
        <w:rPr>
          <w:rFonts w:hint="eastAsia"/>
          <w:spacing w:val="-6"/>
          <w:w w:val="110"/>
          <w:sz w:val="21"/>
          <w:szCs w:val="21"/>
          <w:lang w:eastAsia="zh-CN"/>
        </w:rPr>
        <w:t>凡是注日期的文件，其随后所有的修改单（不包括勘误的内容）或修订版不适用于本细则。凡是不注日期的文件，其最新版本适用于本细则。</w:t>
      </w:r>
    </w:p>
    <w:p>
      <w:pPr>
        <w:pStyle w:val="16"/>
        <w:rPr>
          <w:rFonts w:hint="eastAsia"/>
          <w:spacing w:val="-6"/>
          <w:w w:val="110"/>
          <w:sz w:val="21"/>
          <w:szCs w:val="21"/>
          <w:lang w:eastAsia="zh-CN"/>
        </w:rPr>
      </w:pPr>
      <w:r>
        <w:rPr>
          <w:rFonts w:hint="eastAsia"/>
          <w:spacing w:val="-6"/>
          <w:w w:val="110"/>
          <w:sz w:val="21"/>
          <w:szCs w:val="21"/>
          <w:lang w:eastAsia="zh-CN"/>
        </w:rPr>
        <w:t>YB/T</w:t>
      </w:r>
      <w:r>
        <w:rPr>
          <w:spacing w:val="-6"/>
          <w:w w:val="110"/>
          <w:sz w:val="21"/>
          <w:szCs w:val="21"/>
          <w:lang w:eastAsia="zh-CN"/>
        </w:rPr>
        <w:t xml:space="preserve"> </w:t>
      </w:r>
      <w:r>
        <w:rPr>
          <w:rFonts w:hint="eastAsia"/>
          <w:spacing w:val="-6"/>
          <w:w w:val="110"/>
          <w:sz w:val="21"/>
          <w:szCs w:val="21"/>
          <w:lang w:eastAsia="zh-CN"/>
        </w:rPr>
        <w:t>4072  高炉热风阀</w:t>
      </w:r>
    </w:p>
    <w:p>
      <w:pPr>
        <w:pStyle w:val="16"/>
        <w:rPr>
          <w:spacing w:val="-6"/>
          <w:w w:val="110"/>
          <w:sz w:val="21"/>
          <w:szCs w:val="21"/>
          <w:lang w:eastAsia="zh-CN"/>
        </w:rPr>
      </w:pPr>
      <w:r>
        <w:rPr>
          <w:rFonts w:hint="eastAsia"/>
          <w:spacing w:val="-6"/>
          <w:w w:val="110"/>
          <w:sz w:val="21"/>
          <w:szCs w:val="21"/>
          <w:lang w:eastAsia="zh-CN"/>
        </w:rPr>
        <w:t>GB/T 13927 工业阀门  压力试验</w:t>
      </w:r>
    </w:p>
    <w:p>
      <w:pPr>
        <w:pStyle w:val="15"/>
        <w:tabs>
          <w:tab w:val="center" w:pos="4153"/>
          <w:tab w:val="right" w:pos="8306"/>
        </w:tabs>
        <w:rPr>
          <w:rFonts w:hint="eastAsia"/>
        </w:rPr>
      </w:pPr>
      <w:r>
        <w:t xml:space="preserve">  </w:t>
      </w:r>
      <w:r>
        <w:rPr>
          <w:rFonts w:ascii="宋体" w:hint="eastAsia"/>
          <w:spacing w:val="-6"/>
          <w:w w:val="110"/>
          <w:sz w:val="21"/>
          <w:szCs w:val="21"/>
        </w:rPr>
        <w:t xml:space="preserve">  GB/T 26480  阀门的检验和试验</w:t>
      </w:r>
    </w:p>
    <w:p>
      <w:pPr>
        <w:pStyle w:val="16"/>
        <w:rPr>
          <w:rFonts w:hint="eastAsia"/>
          <w:spacing w:val="-6"/>
          <w:w w:val="110"/>
          <w:sz w:val="21"/>
          <w:szCs w:val="21"/>
          <w:lang w:eastAsia="zh-CN"/>
        </w:rPr>
      </w:pPr>
      <w:r>
        <w:rPr>
          <w:rFonts w:hint="eastAsia"/>
          <w:spacing w:val="-6"/>
          <w:w w:val="110"/>
          <w:sz w:val="21"/>
          <w:szCs w:val="21"/>
          <w:lang w:eastAsia="zh-CN"/>
        </w:rPr>
        <w:t>相关的法律法规、部门规章和细则。</w:t>
      </w:r>
    </w:p>
    <w:p>
      <w:pPr>
        <w:pStyle w:val="16"/>
        <w:rPr>
          <w:rFonts w:hint="eastAsia"/>
          <w:spacing w:val="-6"/>
          <w:w w:val="110"/>
          <w:sz w:val="21"/>
          <w:szCs w:val="21"/>
          <w:lang w:eastAsia="zh-CN"/>
        </w:rPr>
      </w:pPr>
      <w:r>
        <w:rPr>
          <w:rFonts w:hint="eastAsia"/>
          <w:spacing w:val="-6"/>
          <w:w w:val="110"/>
          <w:sz w:val="21"/>
          <w:szCs w:val="21"/>
          <w:lang w:eastAsia="zh-CN"/>
        </w:rPr>
        <w:t>经备案现行有效的企业标准及产品明示质量要求</w:t>
      </w:r>
    </w:p>
    <w:p>
      <w:pPr>
        <w:pStyle w:val="1"/>
        <w:spacing w:beforeLines="50" w:before="156" w:afterLines="0" w:after="156"/>
        <w:ind w:firstLineChars="0" w:firstLine="0"/>
        <w:rPr>
          <w:rFonts w:hint="eastAsia"/>
          <w:lang w:eastAsia="zh-CN"/>
        </w:rPr>
      </w:pPr>
      <w:r>
        <w:rPr>
          <w:rFonts w:hint="eastAsia"/>
          <w:lang w:eastAsia="zh-CN"/>
        </w:rPr>
        <w:t>3 抽样</w:t>
      </w:r>
    </w:p>
    <w:p>
      <w:pPr>
        <w:pStyle w:val="2"/>
        <w:ind w:firstLineChars="0" w:firstLine="0"/>
        <w:rPr>
          <w:rFonts w:hint="eastAsia"/>
          <w:lang w:eastAsia="zh-CN"/>
        </w:rPr>
      </w:pPr>
      <w:r>
        <w:rPr>
          <w:rFonts w:hint="eastAsia"/>
          <w:lang w:eastAsia="zh-CN"/>
        </w:rPr>
        <w:t>3.1 抽样型号或规格</w:t>
      </w:r>
    </w:p>
    <w:p>
      <w:pPr>
        <w:pStyle w:val="16"/>
        <w:rPr>
          <w:rFonts w:hint="eastAsia"/>
          <w:spacing w:val="-6"/>
          <w:w w:val="110"/>
          <w:sz w:val="21"/>
          <w:szCs w:val="21"/>
          <w:lang w:eastAsia="zh-CN"/>
        </w:rPr>
      </w:pPr>
      <w:r>
        <w:rPr>
          <w:rFonts w:hint="eastAsia"/>
          <w:spacing w:val="-6"/>
          <w:w w:val="110"/>
          <w:sz w:val="21"/>
          <w:szCs w:val="21"/>
          <w:lang w:eastAsia="zh-CN"/>
        </w:rPr>
        <w:t>抽样样品应为同一规格、同一批次的产品。</w:t>
      </w:r>
    </w:p>
    <w:p>
      <w:pPr>
        <w:pStyle w:val="2"/>
        <w:ind w:firstLineChars="0" w:firstLine="0"/>
        <w:rPr>
          <w:rFonts w:hint="eastAsia"/>
          <w:lang w:eastAsia="zh-CN"/>
        </w:rPr>
      </w:pPr>
      <w:r>
        <w:rPr>
          <w:rFonts w:hint="eastAsia"/>
          <w:lang w:eastAsia="zh-CN"/>
        </w:rPr>
        <w:t>3.2 抽样方法、基数及数量</w:t>
      </w:r>
    </w:p>
    <w:p>
      <w:pPr>
        <w:snapToGrid w:val="0"/>
        <w:spacing w:line="440" w:lineRule="exact"/>
        <w:ind w:firstLineChars="200" w:firstLine="438"/>
        <w:rPr>
          <w:rFonts w:ascii="宋体" w:hint="eastAsia"/>
          <w:spacing w:val="-6"/>
          <w:w w:val="110"/>
          <w:szCs w:val="21"/>
        </w:rPr>
      </w:pPr>
      <w:r>
        <w:rPr>
          <w:rFonts w:ascii="宋体" w:hint="eastAsia"/>
          <w:spacing w:val="-6"/>
          <w:w w:val="110"/>
          <w:szCs w:val="21"/>
        </w:rPr>
        <w:t>以随机抽样的方式在被抽样生产者、销售者的待销产品中抽取。</w:t>
      </w:r>
    </w:p>
    <w:p>
      <w:pPr>
        <w:snapToGrid w:val="0"/>
        <w:spacing w:line="440" w:lineRule="exact"/>
        <w:ind w:firstLineChars="200" w:firstLine="438"/>
        <w:rPr>
          <w:rFonts w:ascii="宋体" w:hint="eastAsia"/>
          <w:spacing w:val="-6"/>
          <w:w w:val="110"/>
          <w:szCs w:val="21"/>
        </w:rPr>
      </w:pPr>
      <w:r>
        <w:rPr>
          <w:rFonts w:ascii="宋体" w:hint="eastAsia"/>
          <w:spacing w:val="-6"/>
          <w:w w:val="110"/>
          <w:szCs w:val="21"/>
        </w:rPr>
        <w:t>随机数一般可使用随机数表等方法产生。</w:t>
      </w:r>
    </w:p>
    <w:p>
      <w:pPr>
        <w:pStyle w:val="16"/>
        <w:rPr>
          <w:rFonts w:hint="eastAsia"/>
          <w:spacing w:val="-6"/>
          <w:w w:val="110"/>
          <w:sz w:val="21"/>
          <w:szCs w:val="21"/>
          <w:lang w:eastAsia="zh-CN"/>
        </w:rPr>
      </w:pPr>
      <w:r>
        <w:rPr>
          <w:spacing w:val="-6"/>
          <w:w w:val="110"/>
          <w:sz w:val="21"/>
          <w:szCs w:val="21"/>
          <w:lang w:eastAsia="zh-CN"/>
        </w:rPr>
        <w:t>热风阀</w:t>
      </w:r>
      <w:r>
        <w:rPr>
          <w:rFonts w:hint="eastAsia"/>
          <w:spacing w:val="-6"/>
          <w:w w:val="110"/>
          <w:sz w:val="21"/>
          <w:szCs w:val="21"/>
          <w:lang w:eastAsia="zh-CN"/>
        </w:rPr>
        <w:t>每批次产品抽取样品1台，检后备于该公司库房。闸阀、截止阀、球阀、蝶阀、止回阀每批次产品抽取样品</w:t>
      </w:r>
      <w:r>
        <w:rPr>
          <w:spacing w:val="-6"/>
          <w:w w:val="110"/>
          <w:sz w:val="21"/>
          <w:szCs w:val="21"/>
          <w:lang w:eastAsia="zh-CN"/>
        </w:rPr>
        <w:t>1</w:t>
      </w:r>
      <w:r>
        <w:rPr>
          <w:rFonts w:hint="eastAsia"/>
          <w:spacing w:val="-6"/>
          <w:w w:val="110"/>
          <w:sz w:val="21"/>
          <w:szCs w:val="21"/>
          <w:lang w:eastAsia="zh-CN"/>
        </w:rPr>
        <w:t>台，</w:t>
      </w:r>
      <w:r>
        <w:rPr>
          <w:spacing w:val="-6"/>
          <w:w w:val="110"/>
          <w:sz w:val="21"/>
          <w:szCs w:val="21"/>
          <w:lang w:eastAsia="zh-CN"/>
        </w:rPr>
        <w:t>检后备于检验机构。</w:t>
      </w:r>
    </w:p>
    <w:p>
      <w:pPr>
        <w:pStyle w:val="2"/>
        <w:ind w:firstLineChars="0" w:firstLine="0"/>
        <w:rPr>
          <w:rFonts w:hint="eastAsia"/>
          <w:lang w:eastAsia="zh-CN"/>
        </w:rPr>
      </w:pPr>
      <w:r>
        <w:rPr>
          <w:rFonts w:hint="eastAsia"/>
          <w:lang w:eastAsia="zh-CN"/>
        </w:rPr>
        <w:t>3.3 抽样单</w:t>
      </w:r>
    </w:p>
    <w:p>
      <w:pPr>
        <w:pStyle w:val="16"/>
        <w:rPr>
          <w:rFonts w:hint="eastAsia"/>
          <w:spacing w:val="-6"/>
          <w:w w:val="110"/>
          <w:sz w:val="21"/>
          <w:szCs w:val="21"/>
          <w:lang w:eastAsia="zh-CN"/>
        </w:rPr>
      </w:pPr>
      <w:r>
        <w:rPr>
          <w:rFonts w:hint="eastAsia"/>
          <w:spacing w:val="-6"/>
          <w:w w:val="110"/>
          <w:sz w:val="21"/>
          <w:szCs w:val="21"/>
          <w:lang w:eastAsia="zh-CN"/>
        </w:rPr>
        <w:t>应按有关规定填写抽样单、并记录被抽查产品及企业相关信息。</w:t>
      </w:r>
    </w:p>
    <w:p>
      <w:pPr>
        <w:pStyle w:val="1"/>
        <w:spacing w:beforeLines="50" w:before="156" w:afterLines="0" w:after="156"/>
        <w:ind w:firstLineChars="0" w:firstLine="0"/>
        <w:rPr>
          <w:rFonts w:hint="eastAsia"/>
          <w:lang w:eastAsia="zh-CN"/>
        </w:rPr>
      </w:pPr>
      <w:r>
        <w:rPr>
          <w:rFonts w:hint="eastAsia"/>
          <w:lang w:eastAsia="zh-CN"/>
        </w:rPr>
        <w:t>4 检验要求</w:t>
      </w:r>
    </w:p>
    <w:p>
      <w:pPr>
        <w:pStyle w:val="2"/>
        <w:ind w:firstLineChars="0" w:firstLine="0"/>
        <w:rPr>
          <w:rFonts w:hint="eastAsia"/>
          <w:lang w:eastAsia="zh-CN"/>
        </w:rPr>
      </w:pPr>
      <w:r>
        <w:rPr>
          <w:rFonts w:hint="eastAsia"/>
          <w:lang w:eastAsia="zh-CN"/>
        </w:rPr>
        <w:t>4.1 检验项目</w:t>
      </w:r>
    </w:p>
    <w:p>
      <w:pPr>
        <w:pStyle w:val="16"/>
        <w:rPr>
          <w:rFonts w:hint="eastAsia"/>
          <w:spacing w:val="-6"/>
          <w:w w:val="110"/>
          <w:sz w:val="21"/>
          <w:szCs w:val="21"/>
          <w:lang w:eastAsia="zh-CN"/>
        </w:rPr>
      </w:pPr>
      <w:r>
        <w:rPr>
          <w:rFonts w:hint="eastAsia"/>
          <w:spacing w:val="-6"/>
          <w:w w:val="110"/>
          <w:sz w:val="21"/>
          <w:szCs w:val="21"/>
          <w:lang w:eastAsia="zh-CN"/>
        </w:rPr>
        <w:t>检验项目见表1。</w:t>
      </w:r>
    </w:p>
    <w:p>
      <w:pPr>
        <w:jc w:val="center"/>
        <w:rPr>
          <w:rFonts w:ascii="宋体" w:hint="eastAsia"/>
          <w:w w:val="110"/>
          <w:szCs w:val="21"/>
        </w:rPr>
      </w:pPr>
    </w:p>
    <w:p>
      <w:pPr>
        <w:jc w:val="center"/>
        <w:rPr>
          <w:rFonts w:ascii="宋体" w:hint="eastAsia"/>
          <w:w w:val="110"/>
          <w:szCs w:val="21"/>
        </w:rPr>
      </w:pPr>
      <w:r>
        <w:rPr>
          <w:rFonts w:ascii="宋体" w:hint="eastAsia"/>
          <w:w w:val="110"/>
          <w:szCs w:val="21"/>
        </w:rPr>
        <w:t>表1 检验项目</w:t>
      </w:r>
    </w:p>
    <w:tbl>
      <w:tblPr>
        <w:jc w:val="center"/>
        <w:tblW w:w="7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3312"/>
        <w:gridCol w:w="1945"/>
        <w:gridCol w:w="2072"/>
      </w:tblGrid>
      <w:tr>
        <w:trPr>
          <w:trHeight w:val="1078"/>
          <w:tblHeader/>
        </w:trPr>
        <w:tc>
          <w:tcPr>
            <w:tcW w:w="472" w:type="dxa"/>
            <w:tcBorders>
              <w:bottom w:val="single" w:sz="4" w:space="0" w:color="auto"/>
              <w:tl2br w:val="nil"/>
              <w:tr2bl w:val="nil"/>
            </w:tcBorders>
            <w:vAlign w:val="center"/>
          </w:tcPr>
          <w:p>
            <w:pPr>
              <w:adjustRightInd w:val="0"/>
              <w:jc w:val="center"/>
              <w:rPr>
                <w:rFonts w:ascii="宋体" w:hint="eastAsia"/>
                <w:w w:val="110"/>
                <w:szCs w:val="21"/>
              </w:rPr>
            </w:pPr>
            <w:r>
              <w:rPr>
                <w:rFonts w:ascii="宋体" w:hint="eastAsia"/>
                <w:w w:val="110"/>
                <w:szCs w:val="21"/>
              </w:rPr>
              <w:t>序号</w:t>
            </w:r>
          </w:p>
        </w:tc>
        <w:tc>
          <w:tcPr>
            <w:tcW w:w="3312" w:type="dxa"/>
            <w:tcBorders>
              <w:bottom w:val="single" w:sz="4" w:space="0" w:color="auto"/>
              <w:tl2br w:val="nil"/>
              <w:tr2bl w:val="nil"/>
            </w:tcBorders>
            <w:vAlign w:val="center"/>
          </w:tcPr>
          <w:p>
            <w:pPr>
              <w:adjustRightInd w:val="0"/>
              <w:jc w:val="center"/>
              <w:rPr>
                <w:rFonts w:ascii="宋体" w:hint="eastAsia"/>
                <w:w w:val="110"/>
                <w:szCs w:val="21"/>
              </w:rPr>
            </w:pPr>
            <w:r>
              <w:rPr>
                <w:rFonts w:ascii="宋体" w:hint="eastAsia"/>
                <w:w w:val="110"/>
                <w:szCs w:val="21"/>
              </w:rPr>
              <w:t>检验项目</w:t>
            </w:r>
          </w:p>
        </w:tc>
        <w:tc>
          <w:tcPr>
            <w:tcW w:w="1945" w:type="dxa"/>
            <w:tcBorders>
              <w:bottom w:val="single" w:sz="4" w:space="0" w:color="auto"/>
              <w:tl2br w:val="nil"/>
              <w:tr2bl w:val="nil"/>
            </w:tcBorders>
            <w:vAlign w:val="center"/>
          </w:tcPr>
          <w:p>
            <w:pPr>
              <w:adjustRightInd w:val="0"/>
              <w:jc w:val="center"/>
              <w:rPr>
                <w:rFonts w:ascii="宋体" w:hint="eastAsia"/>
                <w:w w:val="110"/>
                <w:szCs w:val="21"/>
              </w:rPr>
            </w:pPr>
            <w:r>
              <w:rPr>
                <w:rFonts w:ascii="宋体" w:hint="eastAsia"/>
                <w:w w:val="110"/>
                <w:szCs w:val="21"/>
              </w:rPr>
              <w:t>依据标准</w:t>
            </w:r>
          </w:p>
        </w:tc>
        <w:tc>
          <w:tcPr>
            <w:tcW w:w="20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检测方法</w:t>
            </w:r>
          </w:p>
        </w:tc>
      </w:tr>
      <w:tr>
        <w:trPr>
          <w:trHeight w:val="379"/>
          <w:tblHeader/>
        </w:trPr>
        <w:tc>
          <w:tcPr>
            <w:tcW w:w="4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1</w:t>
            </w:r>
          </w:p>
        </w:tc>
        <w:tc>
          <w:tcPr>
            <w:tcW w:w="331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强度试验</w:t>
            </w:r>
          </w:p>
        </w:tc>
        <w:tc>
          <w:tcPr>
            <w:tcW w:w="1945"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YB/T 4072</w:t>
            </w:r>
          </w:p>
        </w:tc>
        <w:tc>
          <w:tcPr>
            <w:tcW w:w="20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YB/T 4072</w:t>
            </w:r>
          </w:p>
        </w:tc>
      </w:tr>
      <w:tr>
        <w:tc>
          <w:tcPr>
            <w:tcW w:w="4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2</w:t>
            </w:r>
          </w:p>
        </w:tc>
        <w:tc>
          <w:tcPr>
            <w:tcW w:w="331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密封试验</w:t>
            </w:r>
          </w:p>
        </w:tc>
        <w:tc>
          <w:tcPr>
            <w:tcW w:w="1945"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YB/T 4072</w:t>
            </w:r>
          </w:p>
        </w:tc>
        <w:tc>
          <w:tcPr>
            <w:tcW w:w="20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YB/T 4072</w:t>
            </w:r>
          </w:p>
        </w:tc>
      </w:tr>
      <w:tr>
        <w:tc>
          <w:tcPr>
            <w:tcW w:w="4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3</w:t>
            </w:r>
          </w:p>
        </w:tc>
        <w:tc>
          <w:tcPr>
            <w:tcW w:w="331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动作试验</w:t>
            </w:r>
          </w:p>
        </w:tc>
        <w:tc>
          <w:tcPr>
            <w:tcW w:w="1945"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YB/T 4072</w:t>
            </w:r>
          </w:p>
        </w:tc>
        <w:tc>
          <w:tcPr>
            <w:tcW w:w="20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YB/T 4072</w:t>
            </w:r>
          </w:p>
        </w:tc>
      </w:tr>
      <w:tr>
        <w:tc>
          <w:tcPr>
            <w:tcW w:w="4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4</w:t>
            </w:r>
          </w:p>
        </w:tc>
        <w:tc>
          <w:tcPr>
            <w:tcW w:w="331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壳体试验</w:t>
            </w:r>
          </w:p>
        </w:tc>
        <w:tc>
          <w:tcPr>
            <w:tcW w:w="1945"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相应产品标准</w:t>
            </w:r>
          </w:p>
        </w:tc>
        <w:tc>
          <w:tcPr>
            <w:tcW w:w="20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GB/T 13927/GB/T26480</w:t>
            </w:r>
          </w:p>
        </w:tc>
      </w:tr>
      <w:tr>
        <w:tc>
          <w:tcPr>
            <w:tcW w:w="4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5</w:t>
            </w:r>
          </w:p>
        </w:tc>
        <w:tc>
          <w:tcPr>
            <w:tcW w:w="331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密封试验</w:t>
            </w:r>
          </w:p>
        </w:tc>
        <w:tc>
          <w:tcPr>
            <w:tcW w:w="1945"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相应产品标准</w:t>
            </w:r>
          </w:p>
        </w:tc>
        <w:tc>
          <w:tcPr>
            <w:tcW w:w="2072" w:type="dxa"/>
            <w:tcBorders>
              <w:tl2br w:val="nil"/>
              <w:tr2bl w:val="nil"/>
            </w:tcBorders>
            <w:vAlign w:val="center"/>
          </w:tcPr>
          <w:p>
            <w:pPr>
              <w:adjustRightInd w:val="0"/>
              <w:jc w:val="center"/>
              <w:rPr>
                <w:rFonts w:ascii="宋体" w:hint="eastAsia"/>
                <w:w w:val="110"/>
                <w:szCs w:val="21"/>
              </w:rPr>
            </w:pPr>
            <w:r>
              <w:rPr>
                <w:rFonts w:ascii="宋体" w:hint="eastAsia"/>
                <w:w w:val="110"/>
                <w:szCs w:val="21"/>
              </w:rPr>
              <w:t>GB/T 13927/GB/T26480</w:t>
            </w:r>
          </w:p>
        </w:tc>
      </w:tr>
    </w:tbl>
    <w:p>
      <w:pPr>
        <w:pStyle w:val="3"/>
        <w:spacing w:beforeLines="50" w:before="156"/>
        <w:ind w:firstLineChars="0" w:firstLine="0"/>
        <w:rPr>
          <w:rFonts w:hint="eastAsia"/>
          <w:lang w:eastAsia="zh-CN"/>
        </w:rPr>
      </w:pPr>
      <w:r>
        <w:rPr>
          <w:rFonts w:hint="eastAsia"/>
          <w:lang w:eastAsia="zh-CN"/>
        </w:rPr>
        <w:t>4.2 判定要求</w:t>
      </w:r>
    </w:p>
    <w:p>
      <w:pPr>
        <w:pStyle w:val="16"/>
        <w:rPr>
          <w:rFonts w:hint="eastAsia"/>
          <w:spacing w:val="-6"/>
          <w:w w:val="110"/>
          <w:sz w:val="21"/>
          <w:szCs w:val="21"/>
          <w:lang w:eastAsia="zh-CN"/>
        </w:rPr>
      </w:pPr>
      <w:r>
        <w:rPr>
          <w:rFonts w:hint="eastAsia"/>
          <w:spacing w:val="-6"/>
          <w:w w:val="110"/>
          <w:sz w:val="21"/>
          <w:szCs w:val="21"/>
          <w:lang w:eastAsia="zh-CN"/>
        </w:rPr>
        <w:t>若被检产品明示的质量要求高于本细则中检验项目依据的标准要求时，应按被检产品明示的质量要求判定。</w:t>
      </w:r>
    </w:p>
    <w:p>
      <w:pPr>
        <w:pStyle w:val="16"/>
        <w:rPr>
          <w:rFonts w:hint="eastAsia"/>
          <w:spacing w:val="-6"/>
          <w:w w:val="110"/>
          <w:sz w:val="21"/>
          <w:szCs w:val="21"/>
          <w:lang w:eastAsia="zh-CN"/>
        </w:rPr>
      </w:pPr>
      <w:r>
        <w:rPr>
          <w:rFonts w:hint="eastAsia"/>
          <w:spacing w:val="-6"/>
          <w:w w:val="110"/>
          <w:sz w:val="21"/>
          <w:szCs w:val="21"/>
          <w:lang w:eastAsia="zh-CN"/>
        </w:rPr>
        <w:t>若被检产品明示的质量要求低于本细则中检验项目依据的强制性标准要求时，应按照强制性标准要求判定。</w:t>
      </w:r>
    </w:p>
    <w:p>
      <w:pPr>
        <w:pStyle w:val="16"/>
        <w:rPr>
          <w:rFonts w:hint="eastAsia"/>
          <w:spacing w:val="-6"/>
          <w:w w:val="110"/>
          <w:sz w:val="21"/>
          <w:szCs w:val="21"/>
          <w:lang w:eastAsia="zh-CN"/>
        </w:rPr>
      </w:pPr>
      <w:r>
        <w:rPr>
          <w:rFonts w:hint="eastAsia"/>
          <w:spacing w:val="-6"/>
          <w:w w:val="110"/>
          <w:sz w:val="21"/>
          <w:szCs w:val="21"/>
          <w:lang w:eastAsia="zh-CN"/>
        </w:rPr>
        <w:t>若被检产品明示的质量要求低于或包含细则中检验项目依据的推荐性标准要求时，应以被检产品明示的质量要求判定。</w:t>
      </w:r>
    </w:p>
    <w:p>
      <w:pPr>
        <w:pStyle w:val="16"/>
        <w:rPr>
          <w:rFonts w:hint="eastAsia"/>
          <w:spacing w:val="-6"/>
          <w:w w:val="110"/>
          <w:sz w:val="21"/>
          <w:szCs w:val="21"/>
          <w:lang w:eastAsia="zh-CN"/>
        </w:rPr>
      </w:pPr>
      <w:r>
        <w:rPr>
          <w:rFonts w:hint="eastAsia"/>
          <w:spacing w:val="-6"/>
          <w:w w:val="110"/>
          <w:sz w:val="21"/>
          <w:szCs w:val="21"/>
          <w:lang w:eastAsia="zh-CN"/>
        </w:rPr>
        <w:t>若被检产品明示的质量要求缺少本细则中检验项目依据的强制性标准要求时，应按照强制性标准要求判定。</w:t>
      </w:r>
    </w:p>
    <w:p>
      <w:pPr>
        <w:pStyle w:val="16"/>
        <w:rPr>
          <w:rFonts w:hint="eastAsia"/>
          <w:spacing w:val="-6"/>
          <w:w w:val="110"/>
          <w:sz w:val="21"/>
          <w:szCs w:val="21"/>
          <w:lang w:eastAsia="zh-CN"/>
        </w:rPr>
      </w:pPr>
      <w:r>
        <w:rPr>
          <w:rFonts w:hint="eastAsia"/>
          <w:spacing w:val="-6"/>
          <w:w w:val="110"/>
          <w:sz w:val="21"/>
          <w:szCs w:val="21"/>
          <w:lang w:eastAsia="zh-CN"/>
        </w:rPr>
        <w:t>若被检产品明示的质量要求缺少本细则中检验项目依据的推荐性标准要求时，该项目不参与判定，但应在检验报告备注中进行说明。</w:t>
      </w:r>
    </w:p>
    <w:p>
      <w:pPr>
        <w:pStyle w:val="1"/>
        <w:spacing w:beforeLines="50" w:before="156" w:afterLines="0" w:after="156"/>
        <w:ind w:firstLineChars="0" w:firstLine="0"/>
        <w:rPr>
          <w:rFonts w:hint="eastAsia"/>
          <w:lang w:eastAsia="zh-CN"/>
        </w:rPr>
      </w:pPr>
      <w:r>
        <w:rPr>
          <w:rFonts w:hint="eastAsia"/>
          <w:lang w:eastAsia="zh-CN"/>
        </w:rPr>
        <w:t>5 判定原则</w:t>
      </w:r>
    </w:p>
    <w:p>
      <w:pPr>
        <w:pStyle w:val="16"/>
        <w:rPr>
          <w:rFonts w:hint="eastAsia"/>
          <w:spacing w:val="-6"/>
          <w:w w:val="110"/>
          <w:sz w:val="21"/>
          <w:szCs w:val="21"/>
          <w:lang w:eastAsia="zh-CN"/>
        </w:rPr>
      </w:pPr>
      <w:r>
        <w:rPr>
          <w:rFonts w:hint="eastAsia"/>
          <w:spacing w:val="-6"/>
          <w:w w:val="110"/>
          <w:sz w:val="21"/>
          <w:szCs w:val="21"/>
          <w:lang w:eastAsia="zh-CN"/>
        </w:rPr>
        <w:t>经检验，检验项目全部合格，判定为被抽查产品合格；检验项目中任一项或一项以上不合格，判定为被抽查产品不合格。</w:t>
      </w:r>
    </w:p>
    <w:p>
      <w:pPr>
        <w:pStyle w:val="1"/>
        <w:spacing w:beforeLines="50" w:before="156" w:afterLines="0" w:after="156"/>
        <w:ind w:firstLineChars="0" w:firstLine="0"/>
        <w:rPr>
          <w:rFonts w:hint="eastAsia"/>
          <w:lang w:eastAsia="zh-CN"/>
        </w:rPr>
      </w:pPr>
      <w:r>
        <w:rPr>
          <w:rFonts w:hint="eastAsia"/>
          <w:lang w:eastAsia="zh-CN"/>
        </w:rPr>
        <w:t>6 异议复检处理</w:t>
      </w:r>
    </w:p>
    <w:p>
      <w:pPr>
        <w:pStyle w:val="16"/>
        <w:rPr>
          <w:rFonts w:hint="eastAsia"/>
          <w:spacing w:val="-6"/>
          <w:w w:val="110"/>
          <w:sz w:val="21"/>
          <w:szCs w:val="21"/>
          <w:lang w:eastAsia="zh-CN"/>
        </w:rPr>
      </w:pPr>
      <w:r>
        <w:rPr>
          <w:rFonts w:hint="eastAsia"/>
          <w:spacing w:val="-6"/>
          <w:w w:val="110"/>
          <w:sz w:val="21"/>
          <w:szCs w:val="21"/>
          <w:lang w:eastAsia="zh-CN"/>
        </w:rPr>
        <w:t>1</w:t>
      </w:r>
      <w:r>
        <w:rPr>
          <w:spacing w:val="-6"/>
          <w:w w:val="110"/>
          <w:sz w:val="21"/>
          <w:szCs w:val="21"/>
          <w:lang w:eastAsia="zh-CN"/>
        </w:rPr>
        <w:t>、</w:t>
      </w:r>
      <w:r>
        <w:rPr>
          <w:rFonts w:hint="eastAsia"/>
          <w:spacing w:val="-6"/>
          <w:w w:val="110"/>
          <w:sz w:val="21"/>
          <w:szCs w:val="21"/>
          <w:lang w:eastAsia="zh-CN"/>
        </w:rPr>
        <w:t>核查不合格项目相关证据，能够以记录（纸质记录或电子记录或影像记录）或与不合格项目相关联的其它质量数据等检验证据证明并得到企业认可，可以不复检。需要复检时，强度试验、密封试验、动作试验、壳体压力试验项目在备样上进行复检。</w:t>
      </w:r>
    </w:p>
    <w:p>
      <w:pPr>
        <w:pStyle w:val="16"/>
        <w:rPr>
          <w:rFonts w:hint="eastAsia"/>
          <w:spacing w:val="-6"/>
          <w:w w:val="110"/>
          <w:sz w:val="21"/>
          <w:szCs w:val="21"/>
          <w:lang w:eastAsia="zh-CN"/>
        </w:rPr>
      </w:pPr>
      <w:r>
        <w:rPr>
          <w:rFonts w:hint="eastAsia"/>
          <w:spacing w:val="-6"/>
          <w:w w:val="110"/>
          <w:sz w:val="21"/>
          <w:szCs w:val="21"/>
          <w:lang w:eastAsia="zh-CN"/>
        </w:rPr>
        <w:t>2</w:t>
      </w:r>
      <w:r>
        <w:rPr>
          <w:spacing w:val="-6"/>
          <w:w w:val="110"/>
          <w:sz w:val="21"/>
          <w:szCs w:val="21"/>
          <w:lang w:eastAsia="zh-CN"/>
        </w:rPr>
        <w:t>、</w:t>
      </w:r>
      <w:r>
        <w:rPr>
          <w:rFonts w:hint="eastAsia"/>
          <w:spacing w:val="-6"/>
          <w:w w:val="110"/>
          <w:sz w:val="21"/>
          <w:szCs w:val="21"/>
          <w:lang w:eastAsia="zh-CN"/>
        </w:rPr>
        <w:t>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pStyle w:val="16"/>
        <w:rPr>
          <w:rFonts w:hint="eastAsia"/>
          <w:spacing w:val="-6"/>
          <w:w w:val="110"/>
          <w:sz w:val="21"/>
          <w:szCs w:val="21"/>
          <w:lang w:eastAsia="zh-CN"/>
        </w:rPr>
      </w:pPr>
      <w:r>
        <w:rPr>
          <w:rFonts w:hint="eastAsia"/>
          <w:spacing w:val="-6"/>
          <w:w w:val="110"/>
          <w:sz w:val="21"/>
          <w:szCs w:val="21"/>
          <w:lang w:eastAsia="zh-CN"/>
        </w:rPr>
        <w:t>3</w:t>
      </w:r>
      <w:r>
        <w:rPr>
          <w:spacing w:val="-6"/>
          <w:w w:val="110"/>
          <w:sz w:val="21"/>
          <w:szCs w:val="21"/>
          <w:lang w:eastAsia="zh-CN"/>
        </w:rPr>
        <w:t>、</w:t>
      </w:r>
      <w:r>
        <w:rPr>
          <w:rFonts w:hint="eastAsia"/>
          <w:spacing w:val="-6"/>
          <w:w w:val="110"/>
          <w:sz w:val="21"/>
          <w:szCs w:val="21"/>
          <w:lang w:eastAsia="zh-CN"/>
        </w:rPr>
        <w:t>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beforeLines="50" w:before="156" w:afterLines="0" w:after="156"/>
        <w:ind w:firstLineChars="0" w:firstLine="0"/>
        <w:rPr>
          <w:rFonts w:hint="eastAsia"/>
          <w:lang w:eastAsia="zh-CN"/>
        </w:rPr>
      </w:pPr>
      <w:r>
        <w:rPr>
          <w:rFonts w:hint="eastAsia"/>
          <w:lang w:eastAsia="zh-CN"/>
        </w:rPr>
        <w:t>7 附则</w:t>
      </w:r>
    </w:p>
    <w:p>
      <w:pPr>
        <w:pStyle w:val="16"/>
        <w:rPr>
          <w:rFonts w:hint="eastAsia"/>
          <w:spacing w:val="-6"/>
          <w:w w:val="110"/>
          <w:sz w:val="21"/>
          <w:szCs w:val="21"/>
          <w:lang w:eastAsia="zh-CN"/>
        </w:rPr>
      </w:pPr>
      <w:r>
        <w:rPr>
          <w:rFonts w:hint="eastAsia"/>
          <w:spacing w:val="-6"/>
          <w:w w:val="110"/>
          <w:sz w:val="21"/>
          <w:szCs w:val="21"/>
          <w:lang w:eastAsia="zh-CN"/>
        </w:rPr>
        <w:t>本细则编写单位：秦皇岛市质量技术监督检验所。</w:t>
      </w:r>
    </w:p>
    <w:p>
      <w:pPr>
        <w:pStyle w:val="16"/>
        <w:rPr>
          <w:spacing w:val="-6"/>
          <w:w w:val="110"/>
          <w:sz w:val="21"/>
          <w:szCs w:val="21"/>
          <w:lang w:eastAsia="zh-CN"/>
        </w:rPr>
      </w:pPr>
      <w:r>
        <w:rPr>
          <w:rFonts w:hint="eastAsia"/>
          <w:spacing w:val="-6"/>
          <w:w w:val="110"/>
          <w:sz w:val="21"/>
          <w:szCs w:val="21"/>
          <w:lang w:eastAsia="zh-CN"/>
        </w:rPr>
        <w:t>本细则由秦皇岛市市场监督管理局产品质量安全监督管理科管理。</w:t>
      </w:r>
    </w:p>
    <w:p>
      <w:pPr>
        <w:pStyle w:val="15"/>
        <w:tabs>
          <w:tab w:val="center" w:pos="4153"/>
          <w:tab w:val="right" w:pos="8306"/>
        </w:tabs>
      </w:pPr>
    </w:p>
    <w:p>
      <w:pPr>
        <w:pStyle w:val="15"/>
        <w:tabs>
          <w:tab w:val="center" w:pos="4153"/>
          <w:tab w:val="right" w:pos="8306"/>
        </w:tabs>
      </w:pPr>
    </w:p>
    <w:p>
      <w:pPr>
        <w:pStyle w:val="15"/>
        <w:tabs>
          <w:tab w:val="center" w:pos="4153"/>
          <w:tab w:val="right" w:pos="8306"/>
        </w:tabs>
      </w:pP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autoSpaceDE w:val="0"/>
      <w:autoSpaceDN w:val="0"/>
      <w:spacing w:line="300" w:lineRule="auto"/>
      <w:ind w:firstLineChars="200" w:firstLine="200"/>
      <w:jc w:val="both"/>
      <w:outlineLvl w:val="2"/>
    </w:pPr>
    <w:rPr>
      <w:rFonts w:ascii="宋体" w:eastAsia="宋体" w:cs="宋体" w:hAnsi="Times New Roman"/>
      <w:b/>
      <w:bCs/>
      <w:kern w:val="2"/>
      <w:sz w:val="24"/>
      <w:szCs w:val="32"/>
      <w:lang w:val="en-US" w:bidi="ar-SA"/>
    </w:rPr>
  </w:style>
  <w:style w:type="character" w:default="1" w:styleId="10">
    <w:name w:val="Default Paragraph Font"/>
  </w:style>
  <w:style w:type="paragraph" w:styleId="15">
    <w:name w:val="footer"/>
    <w:basedOn w:val="0"/>
    <w:pPr>
      <w:widowControl w:val="0"/>
      <w:tabs>
        <w:tab w:val="center" w:pos="4153"/>
        <w:tab w:val="right" w:pos="8306"/>
      </w:tabs>
      <w:snapToGrid w:val="0"/>
      <w:jc w:val="left"/>
    </w:pPr>
    <w:rPr>
      <w:rFonts w:ascii="Times New Roman" w:eastAsia="宋体" w:cs="Times New Roman" w:hAnsi="Times New Roman"/>
      <w:kern w:val="2"/>
      <w:sz w:val="18"/>
      <w:szCs w:val="18"/>
      <w:lang w:val="en-US" w:eastAsia="zh-CN" w:bidi="ar-SA"/>
    </w:rPr>
  </w:style>
  <w:style w:type="paragraph" w:styleId="16">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2C2E28E3-B99B-4B34-B648-7B50D36EEB70}">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4</Pages>
  <Words>0</Words>
  <Characters>1258</Characters>
  <Lines>0</Lines>
  <Paragraphs>64</Paragraphs>
  <CharactersWithSpaces>1678</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2025-03-04T07:14:32Z</dcterms:created>
  <dcterms:modified xsi:type="dcterms:W3CDTF">2025-03-06T06:32:01Z</dcterms:modified>
</cp:coreProperties>
</file>