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hint="eastAsia"/>
          <w:b/>
          <w:sz w:val="44"/>
          <w:szCs w:val="52"/>
        </w:rPr>
        <w:t xml:space="preserve"> </w:t>
      </w:r>
      <w:r>
        <w:rPr>
          <w:rFonts w:ascii="黑体" w:eastAsia="黑体" w:hint="eastAsia"/>
          <w:spacing w:val="20"/>
          <w:w w:val="104"/>
          <w:sz w:val="36"/>
          <w:szCs w:val="36"/>
        </w:rPr>
        <w:t>2025年度秦皇岛市市场监督管理局产品质量监督抽查细则</w:t>
      </w: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0</wp:posOffset>
                </wp:positionH>
                <wp:positionV relativeFrom="paragraph">
                  <wp:posOffset>495300</wp:posOffset>
                </wp:positionV>
                <wp:extent cx="5829300"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9300"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0.0pt,39.0pt" to="459.0pt,39.0pt" fillcolor="#FFFFFF" stroked="t" strokeweight="1.0pt" style="position:absolute;z-index:12;mso-position-horizontal:absolute;mso-position-vertical:absolute;mso-wrap-distance-left:8.999863pt;mso-wrap-distance-right:8.999863pt;visibility:visible;">
                <v:stroke color="#800008"/>
              </v:line>
            </w:pict>
          </mc:Fallback>
        </mc:AlternateContent>
      </w:r>
    </w:p>
    <w:p>
      <w:pPr>
        <w:adjustRightInd w:val="0"/>
        <w:snapToGrid w:val="0"/>
        <w:spacing w:line="360" w:lineRule="auto"/>
        <w:jc w:val="center"/>
        <w:rPr>
          <w:rFonts w:ascii="宋体" w:hint="eastAsia"/>
          <w:sz w:val="44"/>
          <w:szCs w:val="44"/>
        </w:rPr>
      </w:pPr>
    </w:p>
    <w:p>
      <w:pPr>
        <w:jc w:val="center"/>
        <w:rPr>
          <w:rFonts w:hint="eastAsia"/>
          <w:b/>
          <w:sz w:val="52"/>
          <w:szCs w:val="52"/>
        </w:rPr>
      </w:pPr>
    </w:p>
    <w:p>
      <w:pPr>
        <w:rPr>
          <w:b/>
          <w:sz w:val="52"/>
          <w:szCs w:val="52"/>
        </w:rPr>
      </w:pPr>
    </w:p>
    <w:p>
      <w:pPr>
        <w:jc w:val="center"/>
        <w:rPr>
          <w:rFonts w:hint="eastAsia"/>
          <w:b/>
          <w:sz w:val="52"/>
          <w:szCs w:val="52"/>
        </w:rPr>
      </w:pPr>
    </w:p>
    <w:p>
      <w:pPr>
        <w:jc w:val="center"/>
        <w:rPr>
          <w:rFonts w:ascii="宋体" w:hint="eastAsia"/>
          <w:b/>
          <w:bCs/>
          <w:sz w:val="44"/>
          <w:szCs w:val="44"/>
        </w:rPr>
      </w:pPr>
      <w:r>
        <w:rPr>
          <w:rFonts w:ascii="宋体" w:hint="eastAsia"/>
          <w:b/>
          <w:bCs/>
          <w:sz w:val="44"/>
          <w:szCs w:val="44"/>
        </w:rPr>
        <w:t>热轧带肋钢筋</w:t>
      </w: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ind w:firstLine="420"/>
      </w:pPr>
    </w:p>
    <w:p>
      <w:pPr>
        <w:pStyle w:val="1"/>
        <w:spacing w:beforeLines="50" w:before="156" w:afterLines="0" w:after="156"/>
        <w:ind w:firstLineChars="0" w:firstLine="0"/>
        <w:rPr>
          <w:rFonts w:hint="eastAsia"/>
          <w:lang w:eastAsia="zh-CN"/>
        </w:rPr>
      </w:pPr>
      <w:r>
        <w:rPr>
          <w:rFonts w:hint="eastAsia"/>
          <w:lang w:eastAsia="zh-CN"/>
        </w:rPr>
        <w:t>1 范围</w:t>
      </w:r>
    </w:p>
    <w:p>
      <w:pPr>
        <w:pStyle w:val="15"/>
        <w:rPr>
          <w:rFonts w:hint="eastAsia"/>
          <w:spacing w:val="5"/>
          <w:w w:val="110"/>
          <w:sz w:val="21"/>
          <w:szCs w:val="21"/>
          <w:lang w:eastAsia="zh-CN"/>
        </w:rPr>
      </w:pPr>
      <w:r>
        <w:rPr>
          <w:rFonts w:hint="eastAsia"/>
          <w:spacing w:val="5"/>
          <w:w w:val="110"/>
          <w:sz w:val="21"/>
          <w:szCs w:val="21"/>
          <w:lang w:eastAsia="zh-CN"/>
        </w:rPr>
        <w:t>本细则适用于钢筋混凝土用热轧带肋钢筋（以下简称热轧带肋钢筋 ）产品质量监督抽查 ，针对特殊情况的市级监督专项抽查、县级以上地方质量技术监督部门组织的地方监督抽查可参照执行。监督抽查产品为普通热轧钢筋。</w:t>
      </w:r>
    </w:p>
    <w:p>
      <w:pPr>
        <w:pStyle w:val="1"/>
        <w:spacing w:beforeLines="50" w:before="156" w:afterLines="0" w:after="156"/>
        <w:ind w:firstLineChars="0" w:firstLine="0"/>
        <w:rPr>
          <w:rFonts w:hint="eastAsia"/>
          <w:lang w:eastAsia="zh-CN"/>
        </w:rPr>
      </w:pPr>
      <w:r>
        <w:rPr>
          <w:lang w:eastAsia="zh-CN"/>
        </w:rPr>
        <w:t>2</w:t>
      </w:r>
      <w:r>
        <w:rPr>
          <w:rFonts w:hint="eastAsia"/>
          <w:lang w:eastAsia="zh-CN"/>
        </w:rPr>
        <w:t xml:space="preserve"> 检验依据</w:t>
      </w:r>
    </w:p>
    <w:p>
      <w:pPr>
        <w:spacing w:afterLines="50" w:after="156" w:line="300" w:lineRule="auto"/>
        <w:ind w:firstLineChars="200" w:firstLine="433"/>
        <w:rPr>
          <w:rFonts w:hint="eastAsia"/>
          <w:spacing w:val="30"/>
          <w:u w:val="single"/>
        </w:rPr>
      </w:pPr>
      <w:r>
        <w:rPr>
          <w:rFonts w:hint="eastAsia"/>
          <w:spacing w:val="-1"/>
          <w:w w:val="104"/>
        </w:rPr>
        <w:t>凡是注日期的文件，其随后所有的修改单（不包括勘误的内容）或修订版不适用于本细则。凡是不注日期的文件，其最新版本适用于本细则。</w:t>
      </w:r>
    </w:p>
    <w:p>
      <w:pPr>
        <w:spacing w:line="300" w:lineRule="auto"/>
        <w:ind w:firstLineChars="200" w:firstLine="433"/>
        <w:rPr>
          <w:rFonts w:hint="eastAsia"/>
          <w:spacing w:val="-1"/>
          <w:w w:val="104"/>
        </w:rPr>
      </w:pPr>
      <w:r>
        <w:rPr>
          <w:rFonts w:hint="eastAsia"/>
          <w:spacing w:val="-1"/>
          <w:w w:val="104"/>
        </w:rPr>
        <w:t>GB</w:t>
      </w:r>
      <w:r>
        <w:rPr>
          <w:spacing w:val="-1"/>
          <w:w w:val="104"/>
        </w:rPr>
        <w:t xml:space="preserve"> </w:t>
      </w:r>
      <w:r>
        <w:rPr>
          <w:rFonts w:hint="eastAsia"/>
          <w:spacing w:val="-1"/>
          <w:w w:val="104"/>
        </w:rPr>
        <w:t xml:space="preserve"> 1499.2</w:t>
      </w:r>
      <w:r>
        <w:rPr>
          <w:spacing w:val="-1"/>
          <w:w w:val="104"/>
        </w:rPr>
        <w:t xml:space="preserve">  </w:t>
      </w:r>
      <w:r>
        <w:rPr>
          <w:rFonts w:hint="eastAsia"/>
          <w:spacing w:val="-1"/>
          <w:w w:val="104"/>
        </w:rPr>
        <w:t xml:space="preserve"> 钢筋混凝土用钢 第2部分 热轧带肋钢筋</w:t>
      </w:r>
    </w:p>
    <w:p>
      <w:pPr>
        <w:spacing w:line="300" w:lineRule="auto"/>
        <w:ind w:firstLineChars="200" w:firstLine="433"/>
        <w:rPr>
          <w:rFonts w:hint="eastAsia"/>
          <w:spacing w:val="-1"/>
          <w:w w:val="104"/>
        </w:rPr>
      </w:pPr>
      <w:r>
        <w:rPr>
          <w:rFonts w:hint="eastAsia"/>
          <w:spacing w:val="-1"/>
          <w:w w:val="104"/>
        </w:rPr>
        <w:t>GB/T 4336  碳素钢和中低合金钢火花源原子发射光谱分析方法（常规法）</w:t>
      </w:r>
    </w:p>
    <w:p>
      <w:pPr>
        <w:spacing w:line="300" w:lineRule="auto"/>
        <w:ind w:firstLineChars="200" w:firstLine="433"/>
        <w:rPr>
          <w:rFonts w:hint="eastAsia"/>
          <w:spacing w:val="-1"/>
          <w:w w:val="104"/>
        </w:rPr>
      </w:pPr>
      <w:r>
        <w:rPr>
          <w:rFonts w:hint="eastAsia"/>
          <w:spacing w:val="-1"/>
          <w:w w:val="104"/>
        </w:rPr>
        <w:t>GB/T 28900  钢筋混凝土用钢材试验方法</w:t>
      </w:r>
    </w:p>
    <w:p>
      <w:pPr>
        <w:spacing w:line="300" w:lineRule="auto"/>
        <w:ind w:firstLineChars="200" w:firstLine="433"/>
        <w:rPr>
          <w:rFonts w:hint="eastAsia"/>
          <w:spacing w:val="-1"/>
          <w:w w:val="104"/>
        </w:rPr>
      </w:pPr>
      <w:r>
        <w:rPr>
          <w:rFonts w:hint="eastAsia"/>
          <w:spacing w:val="-1"/>
          <w:w w:val="104"/>
        </w:rPr>
        <w:t>相关的法律法规、部门规章和细则。</w:t>
      </w:r>
    </w:p>
    <w:p>
      <w:pPr>
        <w:spacing w:line="300" w:lineRule="auto"/>
        <w:ind w:firstLineChars="200" w:firstLine="433"/>
        <w:rPr>
          <w:rFonts w:hint="eastAsia"/>
          <w:spacing w:val="-1"/>
          <w:w w:val="104"/>
        </w:rPr>
      </w:pPr>
      <w:r>
        <w:rPr>
          <w:rFonts w:hint="eastAsia"/>
          <w:spacing w:val="-1"/>
          <w:w w:val="104"/>
        </w:rPr>
        <w:t>经备案现行有效的企业标准及产品明示质量要求</w:t>
      </w:r>
    </w:p>
    <w:p>
      <w:pPr>
        <w:pStyle w:val="1"/>
        <w:spacing w:beforeLines="50" w:before="156" w:afterLines="0" w:after="156"/>
        <w:ind w:firstLineChars="0" w:firstLine="0"/>
        <w:rPr>
          <w:rFonts w:hint="eastAsia"/>
          <w:lang w:eastAsia="zh-CN"/>
        </w:rPr>
      </w:pPr>
      <w:r>
        <w:rPr>
          <w:lang w:eastAsia="zh-CN"/>
        </w:rPr>
        <w:t>3</w:t>
      </w:r>
      <w:r>
        <w:rPr>
          <w:rFonts w:hint="eastAsia"/>
          <w:lang w:eastAsia="zh-CN"/>
        </w:rPr>
        <w:t xml:space="preserve"> 抽样</w:t>
      </w:r>
    </w:p>
    <w:p>
      <w:pPr>
        <w:pStyle w:val="2"/>
        <w:ind w:firstLineChars="0" w:firstLine="0"/>
        <w:rPr>
          <w:rFonts w:ascii="Times New Roman" w:hAnsi="Times New Roman"/>
          <w:lang w:eastAsia="zh-CN"/>
        </w:rPr>
      </w:pPr>
      <w:r>
        <w:rPr>
          <w:rFonts w:ascii="Times New Roman" w:hAnsi="Times New Roman"/>
          <w:lang w:eastAsia="zh-CN"/>
        </w:rPr>
        <w:t>3.1 抽样型号或规格</w:t>
      </w:r>
    </w:p>
    <w:p>
      <w:pPr>
        <w:spacing w:line="300" w:lineRule="auto"/>
        <w:ind w:firstLineChars="200" w:firstLine="433"/>
        <w:rPr>
          <w:rFonts w:hint="eastAsia"/>
          <w:spacing w:val="-1"/>
          <w:w w:val="104"/>
        </w:rPr>
      </w:pPr>
      <w:r>
        <w:rPr>
          <w:rFonts w:hint="eastAsia"/>
          <w:spacing w:val="-1"/>
          <w:w w:val="104"/>
        </w:rPr>
        <w:t>抽样样品应为同一规格、同一批次的产品。优先抽取产品标准中较高强度等级的牌号的产品。</w:t>
      </w:r>
    </w:p>
    <w:p>
      <w:pPr>
        <w:pStyle w:val="2"/>
        <w:ind w:firstLineChars="0" w:firstLine="0"/>
        <w:rPr>
          <w:rFonts w:ascii="Times New Roman" w:hAnsi="Times New Roman"/>
          <w:lang w:eastAsia="zh-CN"/>
        </w:rPr>
      </w:pPr>
      <w:r>
        <w:rPr>
          <w:rFonts w:ascii="Times New Roman" w:hAnsi="Times New Roman"/>
          <w:lang w:eastAsia="zh-CN"/>
        </w:rPr>
        <w:t>3.2 抽样方法、基数及数量</w:t>
      </w:r>
    </w:p>
    <w:p>
      <w:pPr>
        <w:spacing w:line="300" w:lineRule="auto"/>
        <w:ind w:firstLineChars="200" w:firstLine="433"/>
        <w:rPr>
          <w:rFonts w:hint="eastAsia"/>
          <w:spacing w:val="-1"/>
          <w:w w:val="104"/>
        </w:rPr>
      </w:pPr>
      <w:r>
        <w:rPr>
          <w:rFonts w:hint="eastAsia"/>
          <w:spacing w:val="-1"/>
          <w:w w:val="104"/>
        </w:rPr>
        <w:t>在企业的成品库内或市场待销产品中随机抽取有产品质量检验合格证明或者以其它形式标明合格的、近期生产的产品。</w:t>
      </w:r>
    </w:p>
    <w:p>
      <w:pPr>
        <w:spacing w:line="300" w:lineRule="auto"/>
        <w:ind w:firstLineChars="200" w:firstLine="433"/>
        <w:rPr>
          <w:rFonts w:hint="eastAsia"/>
          <w:spacing w:val="-1"/>
          <w:w w:val="104"/>
        </w:rPr>
      </w:pPr>
      <w:r>
        <w:rPr>
          <w:rFonts w:hint="eastAsia"/>
          <w:spacing w:val="-1"/>
          <w:w w:val="104"/>
        </w:rPr>
        <w:t>随机数一般可使用随机数表、骰子或扑克牌等方法产生。</w:t>
      </w:r>
    </w:p>
    <w:p>
      <w:pPr>
        <w:spacing w:line="300" w:lineRule="auto"/>
        <w:ind w:firstLineChars="200" w:firstLine="433"/>
        <w:rPr>
          <w:rFonts w:hint="eastAsia"/>
          <w:spacing w:val="-1"/>
          <w:w w:val="104"/>
        </w:rPr>
      </w:pPr>
      <w:r>
        <w:rPr>
          <w:rFonts w:hint="eastAsia"/>
          <w:spacing w:val="-1"/>
          <w:w w:val="104"/>
        </w:rPr>
        <w:t>抽样采用分层随机抽样方法进行，对于直条型式的钢筋，抽样方法如下：</w:t>
      </w:r>
    </w:p>
    <w:p>
      <w:pPr>
        <w:spacing w:line="300" w:lineRule="auto"/>
        <w:ind w:firstLineChars="200" w:firstLine="433"/>
        <w:rPr>
          <w:rFonts w:hint="eastAsia"/>
          <w:spacing w:val="-1"/>
          <w:w w:val="104"/>
        </w:rPr>
      </w:pPr>
      <w:r>
        <w:rPr>
          <w:rFonts w:hint="eastAsia"/>
          <w:spacing w:val="-1"/>
          <w:w w:val="104"/>
        </w:rPr>
        <w:t>(1)按6.1中的优先原则确定所抽产品的牌号；</w:t>
      </w:r>
    </w:p>
    <w:p>
      <w:pPr>
        <w:spacing w:line="300" w:lineRule="auto"/>
        <w:ind w:firstLineChars="200" w:firstLine="433"/>
        <w:rPr>
          <w:rFonts w:hint="eastAsia"/>
          <w:spacing w:val="-1"/>
          <w:w w:val="104"/>
        </w:rPr>
      </w:pPr>
      <w:r>
        <w:rPr>
          <w:rFonts w:hint="eastAsia"/>
          <w:spacing w:val="-1"/>
          <w:w w:val="104"/>
        </w:rPr>
        <w:t>(2)将确定的牌号产品按所有规格逐一编号，做到不重不漏，用上述随机数产生方法抽取其中的某一规格；</w:t>
      </w:r>
    </w:p>
    <w:p>
      <w:pPr>
        <w:spacing w:line="300" w:lineRule="auto"/>
        <w:ind w:firstLineChars="200" w:firstLine="433"/>
        <w:rPr>
          <w:rFonts w:hint="eastAsia"/>
          <w:spacing w:val="-1"/>
          <w:w w:val="104"/>
        </w:rPr>
      </w:pPr>
      <w:r>
        <w:rPr>
          <w:rFonts w:hint="eastAsia"/>
          <w:spacing w:val="-1"/>
          <w:w w:val="104"/>
        </w:rPr>
        <w:t>(3)将确定的某规格产品按堆放的垛数逐一编号，做到不重不漏，用上述随机数产生方法抽取其中的某一垛；</w:t>
      </w:r>
    </w:p>
    <w:p>
      <w:pPr>
        <w:spacing w:line="300" w:lineRule="auto"/>
        <w:ind w:firstLineChars="200" w:firstLine="433"/>
        <w:rPr>
          <w:rFonts w:hint="eastAsia"/>
          <w:spacing w:val="-1"/>
          <w:w w:val="104"/>
        </w:rPr>
      </w:pPr>
      <w:r>
        <w:rPr>
          <w:rFonts w:hint="eastAsia"/>
          <w:spacing w:val="-1"/>
          <w:w w:val="104"/>
        </w:rPr>
        <w:t>(4)将该垛的表层产品按捆数逐一编号，做到不重不漏，用上述随机数产生方法抽取其中的某一捆产品；</w:t>
      </w:r>
    </w:p>
    <w:p>
      <w:pPr>
        <w:spacing w:line="300" w:lineRule="auto"/>
        <w:ind w:firstLineChars="200" w:firstLine="433"/>
        <w:rPr>
          <w:rFonts w:hint="eastAsia"/>
          <w:spacing w:val="-1"/>
          <w:w w:val="104"/>
        </w:rPr>
      </w:pPr>
      <w:r>
        <w:rPr>
          <w:rFonts w:hint="eastAsia"/>
          <w:spacing w:val="-1"/>
          <w:w w:val="104"/>
        </w:rPr>
        <w:t>(5)若该捆同批号产品不满足抽样基数，则重复以上(1)～(4)条进行抽样，直到某一捆同批号产品满足抽样基数为止；</w:t>
      </w:r>
    </w:p>
    <w:p>
      <w:pPr>
        <w:spacing w:line="300" w:lineRule="auto"/>
        <w:ind w:firstLineChars="200" w:firstLine="433"/>
        <w:rPr>
          <w:rFonts w:hint="eastAsia"/>
          <w:spacing w:val="-1"/>
          <w:w w:val="104"/>
        </w:rPr>
      </w:pPr>
      <w:r>
        <w:rPr>
          <w:rFonts w:hint="eastAsia"/>
          <w:spacing w:val="-1"/>
          <w:w w:val="104"/>
        </w:rPr>
        <w:t>(6)在该捆中随机抽取5根长度为2</w:t>
      </w:r>
      <w:r>
        <w:rPr>
          <w:spacing w:val="-1"/>
          <w:w w:val="104"/>
        </w:rPr>
        <w:t>0</w:t>
      </w:r>
      <w:r>
        <w:rPr>
          <w:rFonts w:hint="eastAsia"/>
          <w:spacing w:val="-1"/>
          <w:w w:val="104"/>
        </w:rPr>
        <w:t>00mm的热轧带肋钢筋(d≥28mm的钢筋取样长度为3400mm),逐根顺序编号1～5，再把每根钢筋分成2支长度为1</w:t>
      </w:r>
      <w:r>
        <w:rPr>
          <w:spacing w:val="-1"/>
          <w:w w:val="104"/>
        </w:rPr>
        <w:t>0</w:t>
      </w:r>
      <w:r>
        <w:rPr>
          <w:rFonts w:hint="eastAsia"/>
          <w:spacing w:val="-1"/>
          <w:w w:val="104"/>
        </w:rPr>
        <w:t>00mm的样品(d≥28mm的每根钢筋分成2支长度为1700mm的样品)，2支样品逐支编号标记，并一一对应(如1-a，1-b)，每支样品要保证有完整的表面标记，标记a的5支样品为检验样品，标记b的5支样品为备用样品。样品可根据检验所需长度切分后运输。</w:t>
      </w:r>
    </w:p>
    <w:p>
      <w:pPr>
        <w:spacing w:line="300" w:lineRule="auto"/>
        <w:ind w:firstLineChars="200" w:firstLine="433"/>
        <w:rPr>
          <w:rFonts w:hint="eastAsia"/>
          <w:spacing w:val="-1"/>
          <w:w w:val="104"/>
        </w:rPr>
      </w:pPr>
      <w:r>
        <w:rPr>
          <w:rFonts w:hint="eastAsia"/>
          <w:spacing w:val="-1"/>
          <w:w w:val="104"/>
        </w:rPr>
        <w:t>对于盘卷型式的钢筋，抽样方法如下：</w:t>
      </w:r>
    </w:p>
    <w:p>
      <w:pPr>
        <w:spacing w:line="300" w:lineRule="auto"/>
        <w:ind w:firstLineChars="200" w:firstLine="433"/>
        <w:rPr>
          <w:rFonts w:hint="eastAsia"/>
          <w:spacing w:val="-1"/>
          <w:w w:val="104"/>
        </w:rPr>
      </w:pPr>
      <w:r>
        <w:rPr>
          <w:rFonts w:hint="eastAsia"/>
          <w:spacing w:val="-1"/>
          <w:w w:val="104"/>
        </w:rPr>
        <w:t>(1)按6.1中的优先原则确定所抽样品的牌号；</w:t>
      </w:r>
    </w:p>
    <w:p>
      <w:pPr>
        <w:spacing w:line="300" w:lineRule="auto"/>
        <w:ind w:firstLineChars="200" w:firstLine="433"/>
        <w:rPr>
          <w:rFonts w:hint="eastAsia"/>
          <w:spacing w:val="-1"/>
          <w:w w:val="104"/>
        </w:rPr>
      </w:pPr>
      <w:r>
        <w:rPr>
          <w:rFonts w:hint="eastAsia"/>
          <w:spacing w:val="-1"/>
          <w:w w:val="104"/>
        </w:rPr>
        <w:t>(2)将确定的牌号产品按所有规格逐一编号，做到不重不漏，用上述随机数产生方法抽取其中的某一规格；</w:t>
      </w:r>
    </w:p>
    <w:p>
      <w:pPr>
        <w:spacing w:line="300" w:lineRule="auto"/>
        <w:ind w:firstLineChars="200" w:firstLine="433"/>
        <w:rPr>
          <w:rFonts w:hint="eastAsia"/>
          <w:spacing w:val="-1"/>
          <w:w w:val="104"/>
        </w:rPr>
      </w:pPr>
      <w:r>
        <w:rPr>
          <w:rFonts w:hint="eastAsia"/>
          <w:spacing w:val="-1"/>
          <w:w w:val="104"/>
        </w:rPr>
        <w:t>(3)将确定的某规格产品按堆放的垛数逐一编号，做到不重不漏，用上述随机数产生方法抽取其中的某一垛；</w:t>
      </w:r>
    </w:p>
    <w:p>
      <w:pPr>
        <w:spacing w:line="300" w:lineRule="auto"/>
        <w:ind w:firstLineChars="200" w:firstLine="433"/>
        <w:rPr>
          <w:rFonts w:hint="eastAsia"/>
          <w:spacing w:val="-1"/>
          <w:w w:val="104"/>
        </w:rPr>
      </w:pPr>
      <w:r>
        <w:rPr>
          <w:rFonts w:hint="eastAsia"/>
          <w:spacing w:val="-1"/>
          <w:w w:val="104"/>
        </w:rPr>
        <w:t>(4)将该垛的表层产品按盘数逐一编号，做到不重不漏，用上述随机数产生方法抽取其中的5盘同一批号的产品；</w:t>
      </w:r>
    </w:p>
    <w:p>
      <w:pPr>
        <w:spacing w:line="300" w:lineRule="auto"/>
        <w:ind w:firstLineChars="200" w:firstLine="433"/>
        <w:rPr>
          <w:rFonts w:hint="eastAsia"/>
          <w:spacing w:val="-1"/>
          <w:w w:val="104"/>
        </w:rPr>
      </w:pPr>
      <w:r>
        <w:rPr>
          <w:rFonts w:hint="eastAsia"/>
          <w:spacing w:val="-1"/>
          <w:w w:val="104"/>
        </w:rPr>
        <w:t>(5)若该层中同批号产品不满足抽样基数，则重复以上(1)～(4)条进行抽样，直到某盘同批号产品满足抽样基数为止；</w:t>
      </w:r>
    </w:p>
    <w:p>
      <w:pPr>
        <w:spacing w:line="300" w:lineRule="auto"/>
        <w:ind w:firstLineChars="200" w:firstLine="433"/>
        <w:rPr>
          <w:rFonts w:hint="eastAsia"/>
          <w:spacing w:val="-1"/>
          <w:w w:val="104"/>
        </w:rPr>
      </w:pPr>
      <w:r>
        <w:rPr>
          <w:rFonts w:hint="eastAsia"/>
          <w:spacing w:val="-1"/>
          <w:w w:val="104"/>
        </w:rPr>
        <w:t>(6)在每盘钢筋上距头或尾至少2000mm处，随机截取1根长度为2</w:t>
      </w:r>
      <w:r>
        <w:rPr>
          <w:spacing w:val="-1"/>
          <w:w w:val="104"/>
        </w:rPr>
        <w:t>0</w:t>
      </w:r>
      <w:r>
        <w:rPr>
          <w:rFonts w:hint="eastAsia"/>
          <w:spacing w:val="-1"/>
          <w:w w:val="104"/>
        </w:rPr>
        <w:t>00mm的钢筋，逐根顺序编号为1～5，再把每根钢筋分成2支长度为1</w:t>
      </w:r>
      <w:r>
        <w:rPr>
          <w:spacing w:val="-1"/>
          <w:w w:val="104"/>
        </w:rPr>
        <w:t>0</w:t>
      </w:r>
      <w:r>
        <w:rPr>
          <w:rFonts w:hint="eastAsia"/>
          <w:spacing w:val="-1"/>
          <w:w w:val="104"/>
        </w:rPr>
        <w:t>00mm的样品，2支样品逐支编号标记，并一一对应(如1-a，1-b)，标记a的5支样品为检验样品，标记b的5支样品为备用样品。</w:t>
      </w:r>
    </w:p>
    <w:p>
      <w:pPr>
        <w:spacing w:line="300" w:lineRule="auto"/>
        <w:ind w:firstLineChars="200" w:firstLine="433"/>
        <w:rPr>
          <w:rFonts w:hint="eastAsia"/>
          <w:spacing w:val="-1"/>
          <w:w w:val="104"/>
        </w:rPr>
      </w:pPr>
      <w:r>
        <w:rPr>
          <w:rFonts w:hint="eastAsia"/>
          <w:spacing w:val="-1"/>
          <w:w w:val="104"/>
        </w:rPr>
        <w:t>在企业成品库抽样时，直条热轧带肋钢筋同一批次产品抽样基数不得少于5捆，盘卷热轧带肋钢筋同一批次产品抽样基数不得少于5盘。</w:t>
      </w:r>
    </w:p>
    <w:p>
      <w:pPr>
        <w:spacing w:line="300" w:lineRule="auto"/>
        <w:ind w:firstLineChars="200" w:firstLine="433"/>
        <w:rPr>
          <w:rFonts w:hint="eastAsia"/>
          <w:spacing w:val="-1"/>
          <w:w w:val="104"/>
        </w:rPr>
      </w:pPr>
      <w:r>
        <w:rPr>
          <w:rFonts w:hint="eastAsia"/>
          <w:spacing w:val="-1"/>
          <w:w w:val="104"/>
        </w:rPr>
        <w:t>在流通领域抽样时，抽样基数满足抽样数量即可。</w:t>
      </w:r>
    </w:p>
    <w:p>
      <w:pPr>
        <w:pStyle w:val="2"/>
        <w:ind w:firstLineChars="0" w:firstLine="0"/>
        <w:rPr>
          <w:rFonts w:ascii="Times New Roman" w:hAnsi="Times New Roman"/>
          <w:lang w:eastAsia="zh-CN"/>
        </w:rPr>
      </w:pPr>
      <w:r>
        <w:rPr>
          <w:rFonts w:ascii="Times New Roman" w:hAnsi="Times New Roman"/>
          <w:lang w:eastAsia="zh-CN"/>
        </w:rPr>
        <w:t>3.3 样品处置</w:t>
      </w:r>
    </w:p>
    <w:p>
      <w:pPr>
        <w:spacing w:line="300" w:lineRule="auto"/>
        <w:ind w:firstLineChars="200" w:firstLine="433"/>
        <w:rPr>
          <w:rFonts w:hint="eastAsia"/>
          <w:spacing w:val="-1"/>
          <w:w w:val="104"/>
        </w:rPr>
      </w:pPr>
      <w:r>
        <w:rPr>
          <w:rFonts w:hint="eastAsia"/>
          <w:spacing w:val="-1"/>
          <w:w w:val="104"/>
        </w:rPr>
        <w:t>样品由抽样单位送到检验机构，备用样品由检验机构存放。样品到达后，由检验机构接收样品人员目视查验包裹是否有破损、封条是否完好等，并留存样品接收记录、影像资料等。</w:t>
      </w:r>
    </w:p>
    <w:p>
      <w:pPr>
        <w:pStyle w:val="2"/>
        <w:ind w:firstLineChars="0" w:firstLine="0"/>
        <w:rPr>
          <w:rFonts w:ascii="Times New Roman" w:hAnsi="Times New Roman"/>
          <w:lang w:eastAsia="zh-CN"/>
        </w:rPr>
      </w:pPr>
      <w:r>
        <w:rPr>
          <w:rFonts w:ascii="Times New Roman" w:hAnsi="Times New Roman"/>
          <w:lang w:eastAsia="zh-CN"/>
        </w:rPr>
        <w:t>3.4 抽样单</w:t>
      </w:r>
    </w:p>
    <w:p>
      <w:pPr>
        <w:spacing w:line="300" w:lineRule="auto"/>
        <w:ind w:firstLineChars="200" w:firstLine="433"/>
        <w:rPr>
          <w:spacing w:val="-1"/>
          <w:w w:val="104"/>
        </w:rPr>
      </w:pPr>
      <w:r>
        <w:rPr>
          <w:rFonts w:hint="eastAsia"/>
          <w:spacing w:val="-1"/>
          <w:w w:val="104"/>
        </w:rPr>
        <w:t>应按有关规定填写抽样单、并记录被抽查产品及企业相关信息，同时记录被抽查企业上一年度生产的热轧带肋钢筋产品销售总额，以万元计；若企业上一年度未生产，则记录本年度实际销售额，并加以注明。</w:t>
      </w:r>
    </w:p>
    <w:p>
      <w:pPr>
        <w:pStyle w:val="1"/>
        <w:spacing w:beforeLines="50" w:before="156" w:afterLines="0" w:after="156"/>
        <w:ind w:firstLineChars="0" w:firstLine="0"/>
        <w:rPr>
          <w:rFonts w:hint="eastAsia"/>
          <w:lang w:eastAsia="zh-CN"/>
        </w:rPr>
      </w:pPr>
      <w:r>
        <w:rPr>
          <w:lang w:eastAsia="zh-CN"/>
        </w:rPr>
        <w:t>4</w:t>
      </w:r>
      <w:r>
        <w:rPr>
          <w:rFonts w:hint="eastAsia"/>
          <w:lang w:eastAsia="zh-CN"/>
        </w:rPr>
        <w:t xml:space="preserve"> 检验要求</w:t>
      </w:r>
    </w:p>
    <w:p>
      <w:pPr>
        <w:pStyle w:val="2"/>
        <w:ind w:firstLineChars="0" w:firstLine="0"/>
        <w:rPr>
          <w:rFonts w:ascii="Times New Roman" w:hAnsi="Times New Roman"/>
          <w:lang w:eastAsia="zh-CN"/>
        </w:rPr>
      </w:pPr>
      <w:r>
        <w:rPr>
          <w:rFonts w:ascii="Times New Roman" w:hAnsi="Times New Roman"/>
          <w:lang w:eastAsia="zh-CN"/>
        </w:rPr>
        <w:t>4.1 检验项目</w:t>
      </w:r>
    </w:p>
    <w:p>
      <w:pPr>
        <w:spacing w:line="300" w:lineRule="auto"/>
        <w:ind w:firstLineChars="200" w:firstLine="433"/>
        <w:rPr>
          <w:rFonts w:hint="eastAsia"/>
          <w:spacing w:val="-1"/>
          <w:w w:val="104"/>
        </w:rPr>
      </w:pPr>
      <w:r>
        <w:rPr>
          <w:rFonts w:hint="eastAsia"/>
          <w:spacing w:val="-1"/>
          <w:w w:val="104"/>
        </w:rPr>
        <w:t>检验项目见表</w:t>
      </w:r>
      <w:r>
        <w:rPr>
          <w:spacing w:val="-1"/>
          <w:w w:val="104"/>
        </w:rPr>
        <w:t>1</w:t>
      </w:r>
      <w:r>
        <w:rPr>
          <w:rFonts w:hint="eastAsia"/>
          <w:spacing w:val="-1"/>
          <w:w w:val="104"/>
        </w:rPr>
        <w:t>。</w:t>
      </w:r>
    </w:p>
    <w:p>
      <w:pPr>
        <w:jc w:val="center"/>
        <w:rPr>
          <w:rFonts w:hint="eastAsia"/>
          <w:spacing w:val="-1"/>
          <w:w w:val="104"/>
        </w:rPr>
      </w:pPr>
      <w:r>
        <w:rPr>
          <w:rFonts w:hint="eastAsia"/>
          <w:spacing w:val="-1"/>
          <w:w w:val="104"/>
        </w:rPr>
        <w:t>表</w:t>
      </w:r>
      <w:r>
        <w:rPr>
          <w:spacing w:val="-1"/>
          <w:w w:val="104"/>
        </w:rPr>
        <w:t>1</w:t>
      </w:r>
      <w:r>
        <w:rPr>
          <w:rFonts w:hint="eastAsia"/>
          <w:spacing w:val="-1"/>
          <w:w w:val="104"/>
        </w:rPr>
        <w:t xml:space="preserve"> 检验项目</w:t>
      </w:r>
    </w:p>
    <w:tbl>
      <w:tblPr>
        <w:jc w:val="center"/>
        <w:tblW w:w="7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1106"/>
        <w:gridCol w:w="2206"/>
        <w:gridCol w:w="1945"/>
        <w:gridCol w:w="1934"/>
      </w:tblGrid>
      <w:tr>
        <w:trPr>
          <w:trHeight w:val="312"/>
          <w:tblHeader/>
        </w:trPr>
        <w:tc>
          <w:tcPr>
            <w:tcW w:w="472" w:type="dxa"/>
            <w:vMerge w:val="restart"/>
            <w:tcBorders>
              <w:tl2br w:val="nil"/>
              <w:tr2bl w:val="nil"/>
            </w:tcBorders>
            <w:vAlign w:val="center"/>
          </w:tcPr>
          <w:p>
            <w:pPr>
              <w:adjustRightInd w:val="0"/>
              <w:jc w:val="center"/>
              <w:rPr>
                <w:rFonts w:hint="eastAsia"/>
                <w:spacing w:val="-1"/>
                <w:w w:val="104"/>
              </w:rPr>
            </w:pPr>
            <w:r>
              <w:rPr>
                <w:rFonts w:hint="eastAsia"/>
                <w:spacing w:val="-1"/>
                <w:w w:val="104"/>
              </w:rPr>
              <w:t>序号</w:t>
            </w:r>
          </w:p>
        </w:tc>
        <w:tc>
          <w:tcPr>
            <w:tcW w:w="3312" w:type="dxa"/>
            <w:gridSpan w:val="2"/>
            <w:vMerge w:val="restart"/>
            <w:tcBorders>
              <w:tl2br w:val="nil"/>
              <w:tr2bl w:val="nil"/>
            </w:tcBorders>
            <w:vAlign w:val="center"/>
          </w:tcPr>
          <w:p>
            <w:pPr>
              <w:adjustRightInd w:val="0"/>
              <w:jc w:val="center"/>
              <w:rPr>
                <w:rFonts w:hint="eastAsia"/>
                <w:spacing w:val="-1"/>
                <w:w w:val="104"/>
              </w:rPr>
            </w:pPr>
            <w:r>
              <w:rPr>
                <w:rFonts w:hint="eastAsia"/>
                <w:spacing w:val="-1"/>
                <w:w w:val="104"/>
              </w:rPr>
              <w:t>检验项目</w:t>
            </w:r>
          </w:p>
        </w:tc>
        <w:tc>
          <w:tcPr>
            <w:tcW w:w="1945" w:type="dxa"/>
            <w:vMerge w:val="restart"/>
            <w:tcBorders>
              <w:tl2br w:val="nil"/>
              <w:tr2bl w:val="nil"/>
            </w:tcBorders>
            <w:vAlign w:val="center"/>
          </w:tcPr>
          <w:p>
            <w:pPr>
              <w:adjustRightInd w:val="0"/>
              <w:jc w:val="center"/>
              <w:rPr>
                <w:rFonts w:hint="eastAsia"/>
                <w:spacing w:val="-1"/>
                <w:w w:val="104"/>
              </w:rPr>
            </w:pPr>
            <w:r>
              <w:rPr>
                <w:rFonts w:hint="eastAsia"/>
                <w:spacing w:val="-1"/>
                <w:w w:val="104"/>
              </w:rPr>
              <w:t>依据标准</w:t>
            </w:r>
          </w:p>
        </w:tc>
        <w:tc>
          <w:tcPr>
            <w:tcW w:w="1934" w:type="dxa"/>
            <w:vMerge w:val="restart"/>
            <w:tcBorders>
              <w:tl2br w:val="nil"/>
              <w:tr2bl w:val="nil"/>
            </w:tcBorders>
            <w:vAlign w:val="center"/>
          </w:tcPr>
          <w:p>
            <w:pPr>
              <w:adjustRightInd w:val="0"/>
              <w:jc w:val="center"/>
              <w:rPr>
                <w:rFonts w:hint="eastAsia"/>
                <w:spacing w:val="-1"/>
                <w:w w:val="104"/>
              </w:rPr>
            </w:pPr>
            <w:r>
              <w:rPr>
                <w:rFonts w:hint="eastAsia"/>
                <w:spacing w:val="-1"/>
                <w:w w:val="104"/>
              </w:rPr>
              <w:t>检测方法</w:t>
            </w:r>
          </w:p>
        </w:tc>
      </w:tr>
      <w:tr>
        <w:trPr>
          <w:trHeight w:val="312"/>
          <w:tblHeader/>
        </w:trPr>
        <w:tc>
          <w:tcPr>
            <w:tcW w:w="472" w:type="dxa"/>
            <w:vMerge/>
            <w:tcBorders>
              <w:bottom w:val="single" w:sz="4" w:space="0" w:color="auto"/>
              <w:tl2br w:val="nil"/>
              <w:tr2bl w:val="nil"/>
            </w:tcBorders>
            <w:vAlign w:val="center"/>
          </w:tcPr>
          <w:p/>
        </w:tc>
        <w:tc>
          <w:tcPr>
            <w:tcW w:w="3312" w:type="dxa"/>
            <w:gridSpan w:val="2"/>
            <w:vMerge/>
            <w:tcBorders>
              <w:bottom w:val="single" w:sz="4" w:space="0" w:color="auto"/>
              <w:tl2br w:val="nil"/>
              <w:tr2bl w:val="nil"/>
            </w:tcBorders>
            <w:vAlign w:val="center"/>
          </w:tcPr>
          <w:p/>
        </w:tc>
        <w:tc>
          <w:tcPr>
            <w:tcW w:w="1945" w:type="dxa"/>
            <w:vMerge/>
            <w:tcBorders>
              <w:bottom w:val="single" w:sz="4" w:space="0" w:color="auto"/>
              <w:tl2br w:val="nil"/>
              <w:tr2bl w:val="nil"/>
            </w:tcBorders>
            <w:vAlign w:val="center"/>
          </w:tcPr>
          <w:p/>
        </w:tc>
        <w:tc>
          <w:tcPr>
            <w:tcW w:w="1934" w:type="dxa"/>
            <w:vMerge/>
            <w:tcBorders>
              <w:bottom w:val="single" w:sz="4" w:space="0" w:color="auto"/>
              <w:tl2br w:val="nil"/>
              <w:tr2bl w:val="nil"/>
            </w:tcBorders>
            <w:vAlign w:val="center"/>
          </w:tcPr>
          <w:p/>
        </w:tc>
      </w:tr>
      <w:tr>
        <w:tc>
          <w:tcPr>
            <w:tcW w:w="472" w:type="dxa"/>
            <w:vMerge w:val="restart"/>
            <w:tcBorders>
              <w:tl2br w:val="nil"/>
              <w:tr2bl w:val="nil"/>
            </w:tcBorders>
            <w:vAlign w:val="center"/>
          </w:tcPr>
          <w:p>
            <w:pPr>
              <w:adjustRightInd w:val="0"/>
              <w:jc w:val="center"/>
              <w:rPr>
                <w:rFonts w:hint="eastAsia"/>
                <w:spacing w:val="-1"/>
                <w:w w:val="104"/>
              </w:rPr>
            </w:pPr>
            <w:r>
              <w:rPr>
                <w:rFonts w:hint="eastAsia"/>
                <w:spacing w:val="-1"/>
                <w:w w:val="104"/>
              </w:rPr>
              <w:t>11</w:t>
            </w:r>
          </w:p>
        </w:tc>
        <w:tc>
          <w:tcPr>
            <w:tcW w:w="1106" w:type="dxa"/>
            <w:vMerge w:val="restart"/>
            <w:tcBorders>
              <w:tl2br w:val="nil"/>
              <w:tr2bl w:val="nil"/>
            </w:tcBorders>
            <w:vAlign w:val="center"/>
          </w:tcPr>
          <w:p>
            <w:pPr>
              <w:adjustRightInd w:val="0"/>
              <w:rPr>
                <w:rFonts w:hint="eastAsia"/>
                <w:spacing w:val="-1"/>
                <w:w w:val="104"/>
              </w:rPr>
            </w:pPr>
            <w:r>
              <w:rPr>
                <w:rFonts w:hint="eastAsia"/>
                <w:spacing w:val="-1"/>
                <w:w w:val="104"/>
              </w:rPr>
              <w:t>力学性能</w:t>
            </w: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屈服强度</w:t>
            </w:r>
          </w:p>
        </w:tc>
        <w:tc>
          <w:tcPr>
            <w:tcW w:w="1945" w:type="dxa"/>
            <w:vMerge w:val="restart"/>
            <w:tcBorders>
              <w:tl2br w:val="nil"/>
              <w:tr2bl w:val="nil"/>
            </w:tcBorders>
            <w:vAlign w:val="center"/>
          </w:tcPr>
          <w:p>
            <w:pPr>
              <w:adjustRightInd w:val="0"/>
              <w:jc w:val="center"/>
              <w:rPr>
                <w:rFonts w:hint="eastAsia"/>
                <w:spacing w:val="-1"/>
                <w:w w:val="104"/>
              </w:rPr>
            </w:pPr>
            <w:r>
              <w:rPr>
                <w:rFonts w:hint="eastAsia"/>
                <w:spacing w:val="-1"/>
                <w:w w:val="104"/>
              </w:rPr>
              <w:t>GB</w:t>
            </w:r>
            <w:r>
              <w:rPr>
                <w:spacing w:val="-1"/>
                <w:w w:val="104"/>
              </w:rPr>
              <w:t xml:space="preserve"> </w:t>
            </w:r>
            <w:r>
              <w:rPr>
                <w:rFonts w:hint="eastAsia"/>
                <w:spacing w:val="-1"/>
                <w:w w:val="104"/>
              </w:rPr>
              <w:t xml:space="preserve"> 1499.2</w:t>
            </w:r>
          </w:p>
        </w:tc>
        <w:tc>
          <w:tcPr>
            <w:tcW w:w="1934" w:type="dxa"/>
            <w:vMerge w:val="restart"/>
            <w:tcBorders>
              <w:tl2br w:val="nil"/>
              <w:tr2bl w:val="nil"/>
            </w:tcBorders>
            <w:vAlign w:val="center"/>
          </w:tcPr>
          <w:p>
            <w:pPr>
              <w:adjustRightInd w:val="0"/>
              <w:jc w:val="center"/>
              <w:rPr>
                <w:rFonts w:hint="eastAsia"/>
                <w:spacing w:val="-1"/>
                <w:w w:val="104"/>
              </w:rPr>
            </w:pPr>
            <w:r>
              <w:rPr>
                <w:rFonts w:hint="eastAsia"/>
                <w:spacing w:val="-1"/>
                <w:w w:val="104"/>
              </w:rPr>
              <w:t>GB/T 28900</w:t>
            </w: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抗拉强度</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断后伸长率</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最大力总延伸率</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实测抗拉强度与实测屈服强度之比</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实测屈服强度与屈服强度特征值之比</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472" w:type="dxa"/>
            <w:tcBorders>
              <w:tl2br w:val="nil"/>
              <w:tr2bl w:val="nil"/>
            </w:tcBorders>
            <w:vAlign w:val="center"/>
          </w:tcPr>
          <w:p>
            <w:pPr>
              <w:adjustRightInd w:val="0"/>
              <w:jc w:val="center"/>
              <w:rPr>
                <w:rFonts w:hint="eastAsia"/>
                <w:spacing w:val="-1"/>
                <w:w w:val="104"/>
              </w:rPr>
            </w:pPr>
            <w:r>
              <w:rPr>
                <w:rFonts w:hint="eastAsia"/>
                <w:spacing w:val="-1"/>
                <w:w w:val="104"/>
              </w:rPr>
              <w:t>2</w:t>
            </w:r>
          </w:p>
        </w:tc>
        <w:tc>
          <w:tcPr>
            <w:tcW w:w="1106" w:type="dxa"/>
            <w:tcBorders>
              <w:tl2br w:val="nil"/>
              <w:tr2bl w:val="nil"/>
            </w:tcBorders>
            <w:vAlign w:val="center"/>
          </w:tcPr>
          <w:p>
            <w:pPr>
              <w:adjustRightInd w:val="0"/>
              <w:jc w:val="center"/>
              <w:rPr>
                <w:rFonts w:hint="eastAsia"/>
                <w:spacing w:val="-1"/>
                <w:w w:val="104"/>
              </w:rPr>
            </w:pPr>
            <w:r>
              <w:rPr>
                <w:rFonts w:hint="eastAsia"/>
                <w:spacing w:val="-1"/>
                <w:w w:val="104"/>
              </w:rPr>
              <w:t>工艺性能</w:t>
            </w: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弯曲</w:t>
            </w:r>
            <w:r>
              <w:rPr>
                <w:spacing w:val="-1"/>
                <w:w w:val="104"/>
              </w:rPr>
              <w:t>/反向弯曲</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tcBorders>
              <w:tl2br w:val="nil"/>
              <w:tr2bl w:val="nil"/>
            </w:tcBorders>
            <w:vAlign w:val="center"/>
          </w:tcPr>
          <w:p>
            <w:pPr>
              <w:adjustRightInd w:val="0"/>
              <w:jc w:val="center"/>
              <w:rPr>
                <w:rFonts w:hint="eastAsia"/>
                <w:spacing w:val="-1"/>
                <w:w w:val="104"/>
              </w:rPr>
            </w:pPr>
            <w:r>
              <w:rPr>
                <w:rFonts w:hint="eastAsia"/>
                <w:spacing w:val="-1"/>
                <w:w w:val="104"/>
              </w:rPr>
              <w:t>GB/T 28900</w:t>
            </w:r>
          </w:p>
        </w:tc>
      </w:tr>
      <w:tr>
        <w:tc>
          <w:tcPr>
            <w:tcW w:w="472" w:type="dxa"/>
            <w:vMerge w:val="restart"/>
            <w:tcBorders>
              <w:tl2br w:val="nil"/>
              <w:tr2bl w:val="nil"/>
            </w:tcBorders>
            <w:vAlign w:val="center"/>
          </w:tcPr>
          <w:p>
            <w:pPr>
              <w:adjustRightInd w:val="0"/>
              <w:jc w:val="center"/>
              <w:rPr>
                <w:rFonts w:hint="eastAsia"/>
                <w:spacing w:val="-1"/>
                <w:w w:val="104"/>
              </w:rPr>
            </w:pPr>
            <w:r>
              <w:rPr>
                <w:rFonts w:hint="eastAsia"/>
                <w:spacing w:val="-1"/>
                <w:w w:val="104"/>
              </w:rPr>
              <w:t>3</w:t>
            </w:r>
          </w:p>
        </w:tc>
        <w:tc>
          <w:tcPr>
            <w:tcW w:w="1106" w:type="dxa"/>
            <w:vMerge w:val="restart"/>
            <w:tcBorders>
              <w:tl2br w:val="nil"/>
              <w:tr2bl w:val="nil"/>
            </w:tcBorders>
            <w:vAlign w:val="center"/>
          </w:tcPr>
          <w:p>
            <w:pPr>
              <w:adjustRightInd w:val="0"/>
              <w:jc w:val="center"/>
              <w:rPr>
                <w:rFonts w:hint="eastAsia"/>
                <w:spacing w:val="-1"/>
                <w:w w:val="104"/>
              </w:rPr>
            </w:pPr>
            <w:r>
              <w:rPr>
                <w:rFonts w:hint="eastAsia"/>
                <w:spacing w:val="-1"/>
                <w:w w:val="104"/>
              </w:rPr>
              <w:t>化学成分</w:t>
            </w: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C</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vMerge w:val="restart"/>
            <w:tcBorders>
              <w:tl2br w:val="nil"/>
              <w:tr2bl w:val="nil"/>
            </w:tcBorders>
            <w:vAlign w:val="center"/>
          </w:tcPr>
          <w:p>
            <w:pPr>
              <w:adjustRightInd w:val="0"/>
              <w:jc w:val="center"/>
              <w:rPr>
                <w:rFonts w:hint="eastAsia"/>
                <w:spacing w:val="-1"/>
                <w:w w:val="104"/>
              </w:rPr>
            </w:pPr>
            <w:r>
              <w:rPr>
                <w:rFonts w:hint="eastAsia"/>
                <w:spacing w:val="-1"/>
                <w:w w:val="104"/>
              </w:rPr>
              <w:t>GB/T 4336</w:t>
            </w: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Si</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Mn</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P</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S</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Ceq</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vMerge/>
            <w:tcBorders>
              <w:tl2br w:val="nil"/>
              <w:tr2bl w:val="nil"/>
            </w:tcBorders>
            <w:vAlign w:val="center"/>
          </w:tcPr>
          <w:p/>
        </w:tc>
      </w:tr>
      <w:tr>
        <w:tc>
          <w:tcPr>
            <w:tcW w:w="472" w:type="dxa"/>
            <w:vMerge w:val="restart"/>
            <w:tcBorders>
              <w:tl2br w:val="nil"/>
              <w:tr2bl w:val="nil"/>
            </w:tcBorders>
            <w:vAlign w:val="center"/>
          </w:tcPr>
          <w:p>
            <w:pPr>
              <w:adjustRightInd w:val="0"/>
              <w:jc w:val="center"/>
              <w:rPr>
                <w:rFonts w:hint="eastAsia"/>
                <w:spacing w:val="-1"/>
                <w:w w:val="104"/>
              </w:rPr>
            </w:pPr>
            <w:r>
              <w:rPr>
                <w:rFonts w:hint="eastAsia"/>
                <w:spacing w:val="-1"/>
                <w:w w:val="104"/>
              </w:rPr>
              <w:t>4</w:t>
            </w:r>
          </w:p>
        </w:tc>
        <w:tc>
          <w:tcPr>
            <w:tcW w:w="1106" w:type="dxa"/>
            <w:vMerge w:val="restart"/>
            <w:tcBorders>
              <w:tl2br w:val="nil"/>
              <w:tr2bl w:val="nil"/>
            </w:tcBorders>
            <w:vAlign w:val="center"/>
          </w:tcPr>
          <w:p>
            <w:pPr>
              <w:adjustRightInd w:val="0"/>
              <w:jc w:val="center"/>
              <w:rPr>
                <w:rFonts w:hint="eastAsia"/>
                <w:spacing w:val="-1"/>
                <w:w w:val="104"/>
              </w:rPr>
            </w:pPr>
            <w:r>
              <w:rPr>
                <w:rFonts w:hint="eastAsia"/>
                <w:spacing w:val="-1"/>
                <w:w w:val="104"/>
              </w:rPr>
              <w:t>尺寸</w:t>
            </w: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横肋高</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hint="eastAsia"/>
                <w:spacing w:val="-1"/>
                <w:w w:val="104"/>
              </w:rPr>
            </w:pPr>
            <w:r>
              <w:rPr>
                <w:rFonts w:hint="eastAsia"/>
                <w:spacing w:val="-1"/>
                <w:w w:val="104"/>
              </w:rPr>
              <w:t>肋间距</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r>
      <w:tr>
        <w:tc>
          <w:tcPr>
            <w:tcW w:w="472" w:type="dxa"/>
            <w:tcBorders>
              <w:tl2br w:val="nil"/>
              <w:tr2bl w:val="nil"/>
            </w:tcBorders>
            <w:vAlign w:val="center"/>
          </w:tcPr>
          <w:p>
            <w:pPr>
              <w:adjustRightInd w:val="0"/>
              <w:jc w:val="center"/>
              <w:rPr>
                <w:rFonts w:hint="eastAsia"/>
                <w:spacing w:val="-1"/>
                <w:w w:val="104"/>
              </w:rPr>
            </w:pPr>
            <w:r>
              <w:rPr>
                <w:rFonts w:hint="eastAsia"/>
                <w:spacing w:val="-1"/>
                <w:w w:val="104"/>
              </w:rPr>
              <w:t>5</w:t>
            </w:r>
          </w:p>
        </w:tc>
        <w:tc>
          <w:tcPr>
            <w:tcW w:w="3312" w:type="dxa"/>
            <w:gridSpan w:val="2"/>
            <w:tcBorders>
              <w:tl2br w:val="nil"/>
              <w:tr2bl w:val="nil"/>
            </w:tcBorders>
            <w:vAlign w:val="center"/>
          </w:tcPr>
          <w:p>
            <w:pPr>
              <w:adjustRightInd w:val="0"/>
              <w:jc w:val="center"/>
              <w:rPr>
                <w:rFonts w:hint="eastAsia"/>
                <w:spacing w:val="-1"/>
                <w:w w:val="104"/>
              </w:rPr>
            </w:pPr>
            <w:r>
              <w:rPr>
                <w:rFonts w:hint="eastAsia"/>
                <w:spacing w:val="-1"/>
                <w:w w:val="104"/>
              </w:rPr>
              <w:t>重量偏差</w:t>
            </w:r>
          </w:p>
        </w:tc>
        <w:tc>
          <w:tcPr>
            <w:tcW w:w="1945"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c>
          <w:tcPr>
            <w:tcW w:w="1934" w:type="dxa"/>
            <w:tcBorders>
              <w:tl2br w:val="nil"/>
              <w:tr2bl w:val="nil"/>
            </w:tcBorders>
            <w:vAlign w:val="center"/>
          </w:tcPr>
          <w:p>
            <w:pPr>
              <w:jc w:val="center"/>
              <w:rPr>
                <w:rFonts w:hint="eastAsia"/>
              </w:rPr>
            </w:pPr>
            <w:r>
              <w:rPr>
                <w:rFonts w:hint="eastAsia"/>
                <w:spacing w:val="-1"/>
                <w:w w:val="104"/>
              </w:rPr>
              <w:t>GB</w:t>
            </w:r>
            <w:r>
              <w:rPr>
                <w:spacing w:val="-1"/>
                <w:w w:val="104"/>
              </w:rPr>
              <w:t xml:space="preserve"> </w:t>
            </w:r>
            <w:r>
              <w:rPr>
                <w:rFonts w:hint="eastAsia"/>
                <w:spacing w:val="-1"/>
                <w:w w:val="104"/>
              </w:rPr>
              <w:t xml:space="preserve"> 1499.2</w:t>
            </w:r>
          </w:p>
        </w:tc>
      </w:tr>
    </w:tbl>
    <w:p>
      <w:pPr>
        <w:pStyle w:val="2"/>
        <w:spacing w:beforeLines="50" w:before="156"/>
        <w:ind w:firstLineChars="0" w:firstLine="0"/>
        <w:rPr>
          <w:rFonts w:ascii="Times New Roman" w:hAnsi="Times New Roman"/>
          <w:lang w:eastAsia="zh-CN"/>
        </w:rPr>
      </w:pPr>
      <w:r>
        <w:rPr>
          <w:rFonts w:ascii="Times New Roman" w:hAnsi="Times New Roman"/>
          <w:lang w:eastAsia="zh-CN"/>
        </w:rPr>
        <w:t>4.2 检验应注意问题</w:t>
      </w:r>
    </w:p>
    <w:p>
      <w:pPr>
        <w:pStyle w:val="3"/>
        <w:ind w:firstLineChars="0" w:firstLine="0"/>
        <w:rPr>
          <w:rFonts w:ascii="Times New Roman" w:cs="Times New Roman" w:hAnsi="Times New Roman"/>
          <w:sz w:val="21"/>
          <w:szCs w:val="21"/>
          <w:lang w:eastAsia="zh-CN" w:bidi="ar-SA"/>
        </w:rPr>
      </w:pPr>
      <w:r>
        <w:rPr>
          <w:rFonts w:ascii="Times New Roman" w:cs="Times New Roman" w:hAnsi="Times New Roman"/>
          <w:sz w:val="21"/>
          <w:szCs w:val="21"/>
          <w:lang w:eastAsia="zh-CN" w:bidi="ar-SA"/>
        </w:rPr>
        <w:t>4.2.1 样品的检验分配和检验顺序</w:t>
      </w:r>
    </w:p>
    <w:p>
      <w:pPr>
        <w:spacing w:line="300" w:lineRule="auto"/>
        <w:ind w:firstLineChars="200" w:firstLine="433"/>
        <w:rPr>
          <w:rFonts w:hint="eastAsia"/>
          <w:spacing w:val="-1"/>
          <w:w w:val="104"/>
        </w:rPr>
      </w:pPr>
      <w:r>
        <w:rPr>
          <w:rFonts w:hint="eastAsia"/>
          <w:spacing w:val="-1"/>
          <w:w w:val="104"/>
        </w:rPr>
        <w:t>对所抽取的热轧带肋钢筋样品，先进行尺寸、重量偏差项目的检验，后截取化学成分、力学性能、工艺性能的检验样品，截取后的剩余留样保留并与截取样品编号一一对应。</w:t>
      </w:r>
    </w:p>
    <w:p>
      <w:pPr>
        <w:pStyle w:val="3"/>
        <w:ind w:firstLineChars="0" w:firstLine="0"/>
        <w:rPr>
          <w:rFonts w:ascii="Times New Roman" w:cs="Times New Roman" w:hAnsi="Times New Roman"/>
          <w:sz w:val="21"/>
          <w:szCs w:val="21"/>
          <w:lang w:eastAsia="zh-CN" w:bidi="ar-SA"/>
        </w:rPr>
      </w:pPr>
      <w:r>
        <w:rPr>
          <w:rFonts w:ascii="Times New Roman" w:cs="Times New Roman" w:hAnsi="Times New Roman"/>
          <w:sz w:val="21"/>
          <w:szCs w:val="21"/>
          <w:lang w:eastAsia="zh-CN" w:bidi="ar-SA"/>
        </w:rPr>
        <w:t>4.2.2 判定要求</w:t>
      </w:r>
    </w:p>
    <w:p>
      <w:pPr>
        <w:spacing w:line="300" w:lineRule="auto"/>
        <w:ind w:firstLineChars="200" w:firstLine="433"/>
        <w:rPr>
          <w:rFonts w:hint="eastAsia"/>
          <w:spacing w:val="-1"/>
          <w:w w:val="104"/>
        </w:rPr>
      </w:pPr>
      <w:r>
        <w:rPr>
          <w:rFonts w:hint="eastAsia"/>
          <w:spacing w:val="-1"/>
          <w:w w:val="104"/>
        </w:rPr>
        <w:t>若被检产品明示的质量要求高于本细则中检验项目依据的标准要求时，应按被检产品明示的质量要求判定。</w:t>
      </w:r>
    </w:p>
    <w:p>
      <w:pPr>
        <w:spacing w:line="300" w:lineRule="auto"/>
        <w:ind w:firstLineChars="200" w:firstLine="433"/>
        <w:rPr>
          <w:rFonts w:hint="eastAsia"/>
          <w:spacing w:val="-1"/>
          <w:w w:val="104"/>
        </w:rPr>
      </w:pPr>
      <w:r>
        <w:rPr>
          <w:rFonts w:hint="eastAsia"/>
          <w:spacing w:val="-1"/>
          <w:w w:val="104"/>
        </w:rPr>
        <w:t>若被检产品明示的质量要求低于本细则中检验项目依据的强制性标准要求时，应按照强制性标准要求判定。</w:t>
      </w:r>
    </w:p>
    <w:p>
      <w:pPr>
        <w:spacing w:line="300" w:lineRule="auto"/>
        <w:ind w:firstLineChars="200" w:firstLine="433"/>
        <w:rPr>
          <w:rFonts w:hint="eastAsia"/>
          <w:spacing w:val="-1"/>
          <w:w w:val="104"/>
        </w:rPr>
      </w:pPr>
      <w:r>
        <w:rPr>
          <w:rFonts w:hint="eastAsia"/>
          <w:spacing w:val="-1"/>
          <w:w w:val="104"/>
        </w:rPr>
        <w:t>若被检产品明示的质量要求低于或包含细则中检验项目依据的推荐性标准要求时，应以被检产品明示的质量要求判定。</w:t>
      </w:r>
    </w:p>
    <w:p>
      <w:pPr>
        <w:spacing w:line="300" w:lineRule="auto"/>
        <w:ind w:firstLineChars="200" w:firstLine="433"/>
        <w:rPr>
          <w:rFonts w:hint="eastAsia"/>
          <w:spacing w:val="-1"/>
          <w:w w:val="104"/>
        </w:rPr>
      </w:pPr>
      <w:r>
        <w:rPr>
          <w:rFonts w:hint="eastAsia"/>
          <w:spacing w:val="-1"/>
          <w:w w:val="104"/>
        </w:rPr>
        <w:t>若被检产品明示的质量要求缺少本细则中检验项目依据的强制性标准要求时，应按照强制性标准要求判定。</w:t>
      </w:r>
    </w:p>
    <w:p>
      <w:pPr>
        <w:spacing w:line="300" w:lineRule="auto"/>
        <w:ind w:firstLineChars="200" w:firstLine="433"/>
        <w:rPr>
          <w:rFonts w:hint="eastAsia"/>
          <w:spacing w:val="-1"/>
          <w:w w:val="104"/>
        </w:rPr>
      </w:pPr>
      <w:r>
        <w:rPr>
          <w:rFonts w:hint="eastAsia"/>
          <w:spacing w:val="-1"/>
          <w:w w:val="104"/>
        </w:rPr>
        <w:t>若被检产品明示的质量要求缺少本细则中检验项目依据的推荐性标准要求时，该项目不参与判定，但应在检验报告备注中进行说明。</w:t>
      </w:r>
    </w:p>
    <w:p>
      <w:pPr>
        <w:pStyle w:val="1"/>
        <w:spacing w:beforeLines="50" w:before="156" w:afterLines="0" w:after="156"/>
        <w:ind w:firstLineChars="0" w:firstLine="0"/>
        <w:rPr>
          <w:rFonts w:hint="eastAsia"/>
          <w:lang w:eastAsia="zh-CN"/>
        </w:rPr>
      </w:pPr>
      <w:r>
        <w:rPr>
          <w:lang w:eastAsia="zh-CN"/>
        </w:rPr>
        <w:t>5</w:t>
      </w:r>
      <w:r>
        <w:rPr>
          <w:rFonts w:hint="eastAsia"/>
          <w:lang w:eastAsia="zh-CN"/>
        </w:rPr>
        <w:t xml:space="preserve"> 判定原则</w:t>
      </w:r>
    </w:p>
    <w:p>
      <w:pPr>
        <w:pStyle w:val="2"/>
        <w:ind w:firstLineChars="0" w:firstLine="0"/>
        <w:rPr>
          <w:rFonts w:ascii="Times New Roman" w:hAnsi="Times New Roman"/>
          <w:lang w:eastAsia="zh-CN"/>
        </w:rPr>
      </w:pPr>
      <w:r>
        <w:rPr>
          <w:rFonts w:ascii="Times New Roman" w:hAnsi="Times New Roman"/>
          <w:lang w:eastAsia="zh-CN"/>
        </w:rPr>
        <w:t>5.1 产品质量单项判定原则</w:t>
      </w:r>
    </w:p>
    <w:p>
      <w:pPr>
        <w:spacing w:line="300" w:lineRule="auto"/>
        <w:ind w:firstLineChars="200" w:firstLine="433"/>
        <w:rPr>
          <w:rFonts w:hint="eastAsia"/>
          <w:spacing w:val="-1"/>
          <w:w w:val="104"/>
        </w:rPr>
      </w:pPr>
      <w:r>
        <w:rPr>
          <w:rFonts w:hint="eastAsia"/>
          <w:spacing w:val="-1"/>
          <w:w w:val="104"/>
        </w:rPr>
        <w:t>1）力学性能：每批检验样本量n=2，不合格品限定数L=0；检验两支样品的屈服强度、抗拉强度、断后伸长率（若为抗震钢筋还需检测实测抗拉强度与实测屈服强度之比、实测屈服强度与屈服强度特征值之比）指标。一支样品有任一指标不合格，判定该支样品不合格。不合格品数d小于或等于不合格品限定数L时，判定被抽查产品力学性能项目合格，反之则判定为不合格。</w:t>
      </w:r>
    </w:p>
    <w:p>
      <w:pPr>
        <w:spacing w:line="300" w:lineRule="auto"/>
        <w:ind w:firstLineChars="200" w:firstLine="433"/>
        <w:rPr>
          <w:rFonts w:hint="eastAsia"/>
          <w:spacing w:val="-1"/>
          <w:w w:val="104"/>
        </w:rPr>
      </w:pPr>
      <w:r>
        <w:rPr>
          <w:rFonts w:hint="eastAsia"/>
          <w:spacing w:val="-1"/>
          <w:w w:val="104"/>
        </w:rPr>
        <w:t>2）工艺性能：每批检验样本量n=2，不合格品限定数L=0；不合格品数d小于或等于不合格品限定数L时，判定被抽查产品工艺性能项目合格，反之则判定为不合格。</w:t>
      </w:r>
    </w:p>
    <w:p>
      <w:pPr>
        <w:spacing w:line="300" w:lineRule="auto"/>
        <w:ind w:firstLineChars="200" w:firstLine="433"/>
        <w:rPr>
          <w:rFonts w:hint="eastAsia"/>
          <w:spacing w:val="-1"/>
          <w:w w:val="104"/>
        </w:rPr>
      </w:pPr>
      <w:r>
        <w:rPr>
          <w:rFonts w:hint="eastAsia"/>
          <w:spacing w:val="-1"/>
          <w:w w:val="104"/>
        </w:rPr>
        <w:t>3）化学成分：每批检验样本量n=1，不合格品限定数L=0；检验1支样品的C、Si、Mn、P、S、Ceq指标。若有任一指标不合格，判定该样品不合格。不合格品数d小于或等于不合格品限定数L时，判定被抽查产品化学成分项目合格，反之则判定为不合格。</w:t>
      </w:r>
    </w:p>
    <w:p>
      <w:pPr>
        <w:spacing w:line="300" w:lineRule="auto"/>
        <w:ind w:firstLineChars="200" w:firstLine="433"/>
        <w:rPr>
          <w:rFonts w:hint="eastAsia"/>
          <w:spacing w:val="-1"/>
          <w:w w:val="104"/>
        </w:rPr>
      </w:pPr>
      <w:r>
        <w:rPr>
          <w:rFonts w:hint="eastAsia"/>
          <w:spacing w:val="-1"/>
          <w:w w:val="104"/>
        </w:rPr>
        <w:t>4）尺寸：每批检验样本量n=5，不合格品限定数L=1；检验五支样品的横肋高、肋间距指标。一支样品有任一指标达不到标准要求，判定该支样品不合格。不合格品数d小于或等于不合格品限定数L时，判定被抽查产品尺寸项目合格，反之则判定为不合格。</w:t>
      </w:r>
    </w:p>
    <w:p>
      <w:pPr>
        <w:spacing w:line="300" w:lineRule="auto"/>
        <w:ind w:firstLineChars="200" w:firstLine="433"/>
        <w:rPr>
          <w:rFonts w:hint="eastAsia"/>
          <w:spacing w:val="-1"/>
          <w:w w:val="104"/>
        </w:rPr>
      </w:pPr>
      <w:r>
        <w:rPr>
          <w:rFonts w:hint="eastAsia"/>
          <w:spacing w:val="-1"/>
          <w:w w:val="104"/>
        </w:rPr>
        <w:t>5）重量偏差：每批检验样本量n=1，在5支样品上切取长度不小于500mm的试样作为一个样本，不合格品限定数L=0；不合格品数d小于或等于0时，判定被抽查产品重量偏差项目合格，反之则判定为不合格。依据产品标准规定，重量偏差的n值代表组。</w:t>
      </w:r>
    </w:p>
    <w:p>
      <w:pPr>
        <w:pStyle w:val="2"/>
        <w:ind w:firstLineChars="0" w:firstLine="0"/>
        <w:rPr>
          <w:rFonts w:ascii="Times New Roman" w:hAnsi="Times New Roman"/>
          <w:lang w:eastAsia="zh-CN"/>
        </w:rPr>
      </w:pPr>
      <w:r>
        <w:rPr>
          <w:rFonts w:ascii="Times New Roman" w:hAnsi="Times New Roman"/>
          <w:lang w:eastAsia="zh-CN"/>
        </w:rPr>
        <w:t>5.2 产品检验结果综合判定原则</w:t>
      </w:r>
    </w:p>
    <w:p>
      <w:pPr>
        <w:adjustRightInd w:val="0"/>
        <w:snapToGrid w:val="0"/>
        <w:spacing w:line="300" w:lineRule="auto"/>
        <w:ind w:firstLineChars="200" w:firstLine="433"/>
        <w:rPr>
          <w:rFonts w:hint="eastAsia"/>
          <w:spacing w:val="-1"/>
          <w:w w:val="104"/>
        </w:rPr>
      </w:pPr>
      <w:r>
        <w:rPr>
          <w:rFonts w:hint="eastAsia"/>
          <w:spacing w:val="-1"/>
          <w:w w:val="104"/>
        </w:rPr>
        <w:t>经检验，检验项目全部合格，判定为被抽查产品合格；检验项目中任一项或一项以上不合格，判定为被抽查产品不合格。</w:t>
      </w:r>
    </w:p>
    <w:p>
      <w:pPr>
        <w:pStyle w:val="1"/>
        <w:spacing w:beforeLines="50" w:before="156" w:afterLines="0" w:after="156"/>
        <w:ind w:firstLineChars="0" w:firstLine="0"/>
        <w:rPr>
          <w:rFonts w:hint="eastAsia"/>
          <w:lang w:eastAsia="zh-CN"/>
        </w:rPr>
      </w:pPr>
      <w:r>
        <w:rPr>
          <w:lang w:eastAsia="zh-CN"/>
        </w:rPr>
        <w:t>6</w:t>
      </w:r>
      <w:r>
        <w:rPr>
          <w:rFonts w:hint="eastAsia"/>
          <w:lang w:eastAsia="zh-CN"/>
        </w:rPr>
        <w:t xml:space="preserve"> 异议复检处理</w:t>
      </w:r>
    </w:p>
    <w:p>
      <w:pPr>
        <w:adjustRightInd w:val="0"/>
        <w:snapToGrid w:val="0"/>
        <w:spacing w:line="300" w:lineRule="auto"/>
        <w:ind w:firstLineChars="200" w:firstLine="433"/>
        <w:rPr>
          <w:rFonts w:hint="eastAsia"/>
          <w:spacing w:val="-1"/>
          <w:w w:val="104"/>
        </w:rPr>
      </w:pPr>
      <w:r>
        <w:rPr>
          <w:rFonts w:hint="eastAsia"/>
          <w:spacing w:val="-1"/>
          <w:w w:val="104"/>
        </w:rPr>
        <w:t>1.核查不合格项目相关证据，能够以记录（纸质记录或电子记录或影像记录）或与不合格项目相关联的其它质量数据等检验证据证明并得到企业认可，可以不复检。需要复检时，化学成分项目在原样上进行复检，力学性能、工艺性能、尺寸、重量偏差项目在备样上进行复检。</w:t>
      </w:r>
    </w:p>
    <w:p>
      <w:pPr>
        <w:adjustRightInd w:val="0"/>
        <w:snapToGrid w:val="0"/>
        <w:spacing w:line="300" w:lineRule="auto"/>
        <w:ind w:firstLineChars="200" w:firstLine="433"/>
        <w:rPr>
          <w:rFonts w:hint="eastAsia"/>
          <w:spacing w:val="-1"/>
          <w:w w:val="104"/>
        </w:rPr>
      </w:pPr>
      <w:r>
        <w:rPr>
          <w:rFonts w:hint="eastAsia"/>
          <w:spacing w:val="-1"/>
          <w:w w:val="104"/>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adjustRightInd w:val="0"/>
        <w:snapToGrid w:val="0"/>
        <w:spacing w:line="300" w:lineRule="auto"/>
        <w:ind w:firstLineChars="200" w:firstLine="433"/>
        <w:rPr>
          <w:rFonts w:hint="eastAsia"/>
          <w:spacing w:val="-1"/>
          <w:w w:val="104"/>
        </w:rPr>
      </w:pPr>
      <w:r>
        <w:rPr>
          <w:rFonts w:hint="eastAsia"/>
          <w:spacing w:val="-1"/>
          <w:w w:val="104"/>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beforeLines="50" w:before="156" w:afterLines="0" w:after="156"/>
        <w:ind w:firstLineChars="0" w:firstLine="0"/>
        <w:rPr>
          <w:rFonts w:hint="eastAsia"/>
          <w:lang w:eastAsia="zh-CN"/>
        </w:rPr>
      </w:pPr>
      <w:r>
        <w:rPr>
          <w:lang w:eastAsia="zh-CN"/>
        </w:rPr>
        <w:t>7</w:t>
      </w:r>
      <w:r>
        <w:rPr>
          <w:rFonts w:hint="eastAsia"/>
          <w:lang w:eastAsia="zh-CN"/>
        </w:rPr>
        <w:t xml:space="preserve"> 附则</w:t>
      </w:r>
    </w:p>
    <w:p>
      <w:pPr>
        <w:snapToGrid w:val="0"/>
        <w:spacing w:line="300" w:lineRule="auto"/>
        <w:ind w:firstLineChars="200" w:firstLine="433"/>
        <w:rPr>
          <w:rFonts w:hint="eastAsia"/>
          <w:spacing w:val="-1"/>
          <w:w w:val="104"/>
        </w:rPr>
      </w:pPr>
      <w:r>
        <w:rPr>
          <w:rFonts w:hint="eastAsia"/>
          <w:spacing w:val="-1"/>
          <w:w w:val="104"/>
        </w:rPr>
        <w:t>本细则编写单位：秦皇岛市质量技术监督检验所。</w:t>
      </w:r>
    </w:p>
    <w:p>
      <w:pPr>
        <w:snapToGrid w:val="0"/>
        <w:spacing w:line="300" w:lineRule="auto"/>
        <w:ind w:firstLineChars="200" w:firstLine="433"/>
        <w:rPr>
          <w:spacing w:val="-1"/>
          <w:w w:val="104"/>
        </w:rPr>
      </w:pPr>
      <w:r>
        <w:rPr>
          <w:rFonts w:hint="eastAsia"/>
          <w:spacing w:val="-1"/>
          <w:w w:val="104"/>
        </w:rPr>
        <w:t>本细则由秦皇岛市市场监督管理局产品质量安全监督管理科管理。</w:t>
      </w: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宋体">
    <w:panose1 w:val="02010600030101010101"/>
    <w:charset w:val="86"/>
    <w:family w:val="auto"/>
    <w:pitch w:val="variable"/>
    <w:sig w:usb0="00000003" w:usb1="080E0000" w:usb2="00000000"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autoSpaceDE w:val="0"/>
      <w:autoSpaceDN w:val="0"/>
      <w:spacing w:line="300" w:lineRule="auto"/>
      <w:ind w:firstLineChars="200" w:firstLine="200"/>
      <w:jc w:val="both"/>
      <w:outlineLvl w:val="2"/>
    </w:pPr>
    <w:rPr>
      <w:rFonts w:ascii="宋体" w:eastAsia="宋体" w:cs="宋体" w:hAnsi="Times New Roman"/>
      <w:b/>
      <w:bCs/>
      <w:kern w:val="2"/>
      <w:sz w:val="24"/>
      <w:szCs w:val="32"/>
      <w:lang w:val="en-US" w:bidi="ar-SA"/>
    </w:rPr>
  </w:style>
  <w:style w:type="character" w:default="1" w:styleId="10">
    <w:name w:val="Default Paragraph Font"/>
  </w:style>
  <w:style w:type="paragraph" w:styleId="15">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9DE38E82-E5B3-4132-A135-EC9F1C00299C}">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1</TotalTime>
  <Application>Yozo_Office27021597764231179</Application>
  <Pages>6</Pages>
  <Words>0</Words>
  <Characters>2770</Characters>
  <Lines>0</Lines>
  <Paragraphs>87</Paragraphs>
  <CharactersWithSpaces>3694</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2025-03-04T07:10:23Z</dcterms:created>
  <dcterms:modified xsi:type="dcterms:W3CDTF">2025-03-06T06:39:06Z</dcterms:modified>
</cp:coreProperties>
</file>