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-193040</wp:posOffset>
                </wp:positionH>
                <wp:positionV relativeFrom="paragraph">
                  <wp:posOffset>542925</wp:posOffset>
                </wp:positionV>
                <wp:extent cx="5822314"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2314"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5.2pt,42.75pt" to="443.24997pt,42.75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adjustRightInd w:val="0"/>
        <w:snapToGrid w:val="0"/>
        <w:spacing w:line="360" w:lineRule="auto"/>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b/>
          <w:sz w:val="52"/>
          <w:szCs w:val="52"/>
        </w:rPr>
      </w:pPr>
    </w:p>
    <w:p>
      <w:pPr>
        <w:jc w:val="center"/>
        <w:rPr>
          <w:b/>
          <w:sz w:val="52"/>
          <w:szCs w:val="52"/>
        </w:rPr>
      </w:pPr>
    </w:p>
    <w:p>
      <w:pPr>
        <w:jc w:val="center"/>
        <w:rPr>
          <w:rFonts w:hint="eastAsia"/>
          <w:b/>
          <w:sz w:val="52"/>
          <w:szCs w:val="52"/>
        </w:rPr>
      </w:pPr>
    </w:p>
    <w:p>
      <w:pPr>
        <w:jc w:val="center"/>
        <w:rPr>
          <w:rFonts w:ascii="宋体" w:hint="eastAsia"/>
          <w:sz w:val="44"/>
          <w:szCs w:val="44"/>
        </w:rPr>
      </w:pPr>
      <w:r>
        <w:rPr>
          <w:rFonts w:ascii="宋体" w:hint="eastAsia"/>
          <w:b/>
          <w:sz w:val="44"/>
          <w:szCs w:val="44"/>
        </w:rPr>
        <w:t>波纹管膨胀节</w:t>
      </w:r>
    </w:p>
    <w:p>
      <w:pPr>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rPr>
          <w:rFonts w:ascii="宋体" w:hint="eastAsia"/>
          <w:b/>
          <w:sz w:val="28"/>
          <w:szCs w:val="28"/>
        </w:rPr>
      </w:pPr>
    </w:p>
    <w:p>
      <w:pPr>
        <w:rPr>
          <w:rFonts w:ascii="宋体" w:hint="eastAsia"/>
          <w:b/>
          <w:sz w:val="28"/>
          <w:szCs w:val="28"/>
        </w:rPr>
      </w:pPr>
    </w:p>
    <w:p>
      <w:pPr>
        <w:jc w:val="center"/>
        <w:rPr>
          <w:rFonts w:ascii="宋体" w:hint="eastAsia"/>
          <w:b/>
          <w:sz w:val="32"/>
          <w:szCs w:val="32"/>
        </w:rPr>
      </w:pPr>
    </w:p>
    <w:p>
      <w:pPr>
        <w:jc w:val="cente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实施</w:t>
      </w:r>
      <w:bookmarkStart w:id="0" w:name="_GoBack"/>
      <w:bookmarkEnd w:id="0"/>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pStyle w:val="1"/>
        <w:spacing w:afterLines="0" w:after="156"/>
        <w:ind w:firstLineChars="0" w:firstLine="0"/>
        <w:rPr>
          <w:rFonts w:hint="eastAsia"/>
          <w:lang w:eastAsia="zh-CN"/>
        </w:rPr>
      </w:pPr>
      <w:r>
        <w:rPr>
          <w:rFonts w:hint="eastAsia"/>
          <w:lang w:eastAsia="zh-CN"/>
        </w:rPr>
        <w:t>1 范围</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本细则适用于波纹管膨胀节的产品质量监督抽查 ，针对特殊情况的市级监督专项抽查、县级以上地方质量技术监督部门组织的地方监督抽查可参照执行。监督抽查产品为金属波纹管膨胀节。本细则内容包括术语和定义、检验依据、抽样、检验要求、判定原则、异议处理及附则。</w:t>
      </w:r>
    </w:p>
    <w:p>
      <w:pPr>
        <w:pStyle w:val="1"/>
        <w:spacing w:afterLines="0" w:after="156"/>
        <w:ind w:firstLineChars="0" w:firstLine="0"/>
        <w:rPr>
          <w:rFonts w:hint="eastAsia"/>
          <w:lang w:eastAsia="zh-CN"/>
        </w:rPr>
      </w:pPr>
      <w:r>
        <w:rPr>
          <w:rFonts w:hint="eastAsia"/>
          <w:lang w:eastAsia="zh-CN"/>
        </w:rPr>
        <w:t>2 术语和定义</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下列术语和定义适用于本细则。</w:t>
      </w:r>
    </w:p>
    <w:p>
      <w:pPr>
        <w:pStyle w:val="2"/>
        <w:ind w:firstLineChars="0" w:firstLine="0"/>
        <w:rPr>
          <w:rFonts w:hint="eastAsia"/>
          <w:w w:val="110"/>
          <w:szCs w:val="24"/>
          <w:lang w:eastAsia="zh-CN"/>
        </w:rPr>
      </w:pPr>
      <w:r>
        <w:rPr>
          <w:rFonts w:hint="eastAsia"/>
          <w:w w:val="110"/>
          <w:szCs w:val="24"/>
          <w:lang w:eastAsia="zh-CN"/>
        </w:rPr>
        <w:t>2.1 波纹管膨胀节</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由一个或几个波纹管及结构件组成，用来吸收由于热胀冷缩等原因引起的管道和（或）设备尺寸变化的装置。</w:t>
      </w:r>
    </w:p>
    <w:p>
      <w:pPr>
        <w:pStyle w:val="1"/>
        <w:spacing w:afterLines="0" w:after="156"/>
        <w:ind w:firstLineChars="0" w:firstLine="0"/>
        <w:rPr>
          <w:rFonts w:hint="eastAsia"/>
          <w:lang w:eastAsia="zh-CN"/>
        </w:rPr>
      </w:pPr>
      <w:r>
        <w:rPr>
          <w:rFonts w:hint="eastAsia"/>
          <w:lang w:eastAsia="zh-CN"/>
        </w:rPr>
        <w:t>3 检验依据</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凡是注日期的文件，其随后所有的修改单（不包括勘误的内容）或修订版不适用于本细则。凡是不注日期的文件，其最新版本适用于本细则。</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GB/T 12777  金属波纹管膨胀节通用技术条件</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相关的法律法规、部门规章和细则。</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经备案现行有效的企业标准及产品明示质量要求</w:t>
      </w:r>
    </w:p>
    <w:p>
      <w:pPr>
        <w:pStyle w:val="1"/>
        <w:spacing w:afterLines="0" w:after="156"/>
        <w:ind w:firstLineChars="0" w:firstLine="0"/>
        <w:rPr>
          <w:rFonts w:hint="eastAsia"/>
          <w:lang w:eastAsia="zh-CN"/>
        </w:rPr>
      </w:pPr>
      <w:r>
        <w:rPr>
          <w:rFonts w:hint="eastAsia"/>
          <w:lang w:eastAsia="zh-CN"/>
        </w:rPr>
        <w:t>4 抽样</w:t>
      </w:r>
    </w:p>
    <w:p>
      <w:pPr>
        <w:pStyle w:val="2"/>
        <w:ind w:firstLineChars="0" w:firstLine="0"/>
        <w:rPr>
          <w:rFonts w:hint="eastAsia"/>
          <w:w w:val="110"/>
          <w:szCs w:val="24"/>
          <w:lang w:eastAsia="zh-CN"/>
        </w:rPr>
      </w:pPr>
      <w:r>
        <w:rPr>
          <w:rFonts w:hint="eastAsia"/>
          <w:w w:val="110"/>
          <w:szCs w:val="24"/>
          <w:lang w:eastAsia="zh-CN"/>
        </w:rPr>
        <w:t>4.1 抽样型号或规格</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抽样样品应为同一规格、同一批次的产品。</w:t>
      </w:r>
    </w:p>
    <w:p>
      <w:pPr>
        <w:pStyle w:val="2"/>
        <w:ind w:firstLineChars="0" w:firstLine="0"/>
        <w:rPr>
          <w:rFonts w:hint="eastAsia"/>
          <w:w w:val="110"/>
          <w:szCs w:val="24"/>
          <w:lang w:eastAsia="zh-CN"/>
        </w:rPr>
      </w:pPr>
      <w:r>
        <w:rPr>
          <w:rFonts w:hint="eastAsia"/>
          <w:w w:val="110"/>
          <w:szCs w:val="24"/>
          <w:lang w:eastAsia="zh-CN"/>
        </w:rPr>
        <w:t>4.2 抽样方法、基数及数量</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在企业的成品库内或市场待销产品中随机抽取有产品质量检验合格证明或者以其它形式标明合格的、近期生产的产品。</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随机数一般可使用随机数表、骰子或扑克牌等方法产生。</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每批次产品抽取样品2台，一台作为检验样品，1台作为备用样品。</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抽样基数满足抽样数量即可。</w:t>
      </w:r>
    </w:p>
    <w:p>
      <w:pPr>
        <w:pStyle w:val="2"/>
        <w:ind w:firstLineChars="0" w:firstLine="0"/>
        <w:rPr>
          <w:rFonts w:hint="eastAsia"/>
          <w:w w:val="110"/>
          <w:szCs w:val="24"/>
          <w:lang w:eastAsia="zh-CN"/>
        </w:rPr>
      </w:pPr>
      <w:r>
        <w:rPr>
          <w:rFonts w:hint="eastAsia"/>
          <w:w w:val="110"/>
          <w:szCs w:val="24"/>
          <w:lang w:eastAsia="zh-CN"/>
        </w:rPr>
        <w:t>4.3 样品处置</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对抽取的样品拍照后，用透明胶带封样。在外包装明显位置粘贴上该批产品的标牌和封条。封条应有两名抽样人员及被抽查单位相关负责人签字，并注明抽样日期。检验样品和备用样品分别签封，同时在封条显著位置上标出检验样品、备用样品同时写上企业名称。</w:t>
      </w:r>
    </w:p>
    <w:p>
      <w:pPr>
        <w:spacing w:line="300" w:lineRule="auto"/>
        <w:ind w:firstLineChars="200" w:firstLine="462"/>
        <w:rPr>
          <w:rFonts w:hint="eastAsia"/>
          <w:spacing w:val="-1"/>
          <w:w w:val="104"/>
          <w:szCs w:val="24"/>
          <w:lang w:eastAsia="zh-CN"/>
        </w:rPr>
      </w:pPr>
      <w:r>
        <w:rPr>
          <w:rFonts w:ascii="宋体" w:cs="宋体" w:hint="eastAsia"/>
          <w:w w:val="110"/>
          <w:szCs w:val="21"/>
          <w:lang w:bidi="ar-SA"/>
        </w:rPr>
        <w:t>样品由抽样单位送到检验机构，备用样品由检验机构存放。样品到达后，由检验机构接收样品人员目视查验包裹是否有破损、封条是否完好等，并留存样品接收记录、影像资</w:t>
      </w:r>
      <w:r>
        <w:rPr>
          <w:rFonts w:hint="eastAsia"/>
          <w:spacing w:val="-1"/>
          <w:w w:val="104"/>
          <w:szCs w:val="24"/>
          <w:lang w:eastAsia="zh-CN"/>
        </w:rPr>
        <w:t>料等。</w:t>
      </w:r>
    </w:p>
    <w:p>
      <w:pPr>
        <w:pStyle w:val="2"/>
        <w:ind w:firstLineChars="0" w:firstLine="0"/>
        <w:rPr>
          <w:rFonts w:hint="eastAsia"/>
          <w:w w:val="110"/>
          <w:szCs w:val="24"/>
          <w:lang w:eastAsia="zh-CN"/>
        </w:rPr>
      </w:pPr>
      <w:r>
        <w:rPr>
          <w:rFonts w:hint="eastAsia"/>
          <w:w w:val="110"/>
          <w:szCs w:val="24"/>
          <w:lang w:eastAsia="zh-CN"/>
        </w:rPr>
        <w:t>4.4 抽样单</w:t>
      </w:r>
    </w:p>
    <w:p>
      <w:pPr>
        <w:spacing w:line="300" w:lineRule="auto"/>
        <w:ind w:firstLineChars="200" w:firstLine="462"/>
        <w:rPr>
          <w:rFonts w:ascii="宋体" w:cs="宋体" w:hint="eastAsia"/>
          <w:w w:val="110"/>
          <w:szCs w:val="21"/>
          <w:lang w:bidi="ar-SA"/>
        </w:rPr>
      </w:pPr>
      <w:r>
        <w:rPr>
          <w:rFonts w:ascii="宋体" w:cs="宋体" w:hint="eastAsia"/>
          <w:w w:val="110"/>
          <w:szCs w:val="21"/>
          <w:lang w:bidi="ar-SA"/>
        </w:rPr>
        <w:t>应按有关规定填写抽样单、并记录被抽查产品及企业相关信息。</w:t>
      </w:r>
    </w:p>
    <w:p>
      <w:pPr>
        <w:pStyle w:val="1"/>
        <w:spacing w:afterLines="0" w:after="156"/>
        <w:ind w:firstLineChars="0" w:firstLine="0"/>
        <w:rPr>
          <w:rFonts w:hint="eastAsia"/>
          <w:lang w:eastAsia="zh-CN"/>
        </w:rPr>
      </w:pPr>
      <w:r>
        <w:rPr>
          <w:rFonts w:hint="eastAsia"/>
          <w:lang w:eastAsia="zh-CN"/>
        </w:rPr>
        <w:t>5 检验要求</w:t>
      </w:r>
    </w:p>
    <w:p>
      <w:pPr>
        <w:pStyle w:val="2"/>
        <w:ind w:firstLineChars="0" w:firstLine="0"/>
        <w:rPr>
          <w:rFonts w:hint="eastAsia"/>
          <w:w w:val="110"/>
          <w:szCs w:val="24"/>
          <w:lang w:eastAsia="zh-CN"/>
        </w:rPr>
      </w:pPr>
      <w:r>
        <w:rPr>
          <w:rFonts w:hint="eastAsia"/>
          <w:w w:val="110"/>
          <w:szCs w:val="24"/>
          <w:lang w:eastAsia="zh-CN"/>
        </w:rPr>
        <w:t>5.1 检验项目</w:t>
      </w:r>
    </w:p>
    <w:p>
      <w:pPr>
        <w:rPr>
          <w:rFonts w:hint="eastAsia"/>
          <w:spacing w:val="-1"/>
          <w:w w:val="104"/>
          <w:szCs w:val="24"/>
          <w:lang w:eastAsia="zh-CN"/>
        </w:rPr>
      </w:pPr>
      <w:r>
        <w:rPr>
          <w:rFonts w:hint="eastAsia"/>
          <w:spacing w:val="-1"/>
          <w:w w:val="104"/>
          <w:szCs w:val="24"/>
          <w:lang w:eastAsia="zh-CN"/>
        </w:rPr>
        <w:t>检验项目见表1。</w:t>
      </w:r>
    </w:p>
    <w:p>
      <w:pPr>
        <w:jc w:val="center"/>
        <w:rPr>
          <w:rFonts w:hint="eastAsia"/>
          <w:b/>
          <w:spacing w:val="-1"/>
          <w:w w:val="104"/>
          <w:sz w:val="21"/>
          <w:szCs w:val="21"/>
          <w:lang w:eastAsia="zh-CN"/>
        </w:rPr>
      </w:pPr>
      <w:r>
        <w:rPr>
          <w:rFonts w:hint="eastAsia"/>
          <w:b/>
          <w:spacing w:val="30"/>
          <w:sz w:val="21"/>
          <w:szCs w:val="21"/>
          <w:lang w:eastAsia="zh-CN"/>
        </w:rPr>
        <w:t>表1 检验项目</w:t>
      </w:r>
    </w:p>
    <w:tbl>
      <w:tblPr>
        <w:jc w:val="center"/>
        <w:tblW w:w="7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72"/>
        <w:gridCol w:w="3312"/>
        <w:gridCol w:w="1945"/>
        <w:gridCol w:w="1934"/>
      </w:tblGrid>
      <w:tr>
        <w:trPr>
          <w:trHeight w:val="312"/>
          <w:tblHeader/>
        </w:trPr>
        <w:tc>
          <w:tcPr>
            <w:tcW w:w="472"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序号</w:t>
            </w:r>
          </w:p>
        </w:tc>
        <w:tc>
          <w:tcPr>
            <w:tcW w:w="3312"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检验项目</w:t>
            </w:r>
          </w:p>
        </w:tc>
        <w:tc>
          <w:tcPr>
            <w:tcW w:w="1945"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依据标准</w:t>
            </w:r>
          </w:p>
        </w:tc>
        <w:tc>
          <w:tcPr>
            <w:tcW w:w="1934"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检测方法</w:t>
            </w:r>
          </w:p>
        </w:tc>
      </w:tr>
      <w:tr>
        <w:trPr>
          <w:trHeight w:val="312"/>
          <w:tblHeader/>
        </w:trPr>
        <w:tc>
          <w:tcPr>
            <w:tcW w:w="472" w:type="dxa"/>
            <w:vMerge/>
            <w:tcBorders>
              <w:bottom w:val="single" w:sz="4" w:space="0" w:color="auto"/>
              <w:tl2br w:val="nil"/>
              <w:tr2bl w:val="nil"/>
            </w:tcBorders>
            <w:vAlign w:val="center"/>
          </w:tcPr>
          <w:p/>
        </w:tc>
        <w:tc>
          <w:tcPr>
            <w:tcW w:w="3312" w:type="dxa"/>
            <w:vMerge/>
            <w:tcBorders>
              <w:bottom w:val="single" w:sz="4" w:space="0" w:color="auto"/>
              <w:tl2br w:val="nil"/>
              <w:tr2bl w:val="nil"/>
            </w:tcBorders>
            <w:vAlign w:val="center"/>
          </w:tcPr>
          <w:p/>
        </w:tc>
        <w:tc>
          <w:tcPr>
            <w:tcW w:w="1945" w:type="dxa"/>
            <w:vMerge/>
            <w:tcBorders>
              <w:bottom w:val="single" w:sz="4" w:space="0" w:color="auto"/>
              <w:tl2br w:val="nil"/>
              <w:tr2bl w:val="nil"/>
            </w:tcBorders>
            <w:vAlign w:val="center"/>
          </w:tcPr>
          <w:p/>
        </w:tc>
        <w:tc>
          <w:tcPr>
            <w:tcW w:w="1934" w:type="dxa"/>
            <w:vMerge/>
            <w:tcBorders>
              <w:bottom w:val="single" w:sz="4" w:space="0" w:color="auto"/>
              <w:tl2br w:val="nil"/>
              <w:tr2bl w:val="nil"/>
            </w:tcBorders>
            <w:vAlign w:val="center"/>
          </w:tcPr>
          <w:p/>
        </w:tc>
      </w:tr>
      <w:tr>
        <w:tc>
          <w:tcPr>
            <w:tcW w:w="47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1</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标志</w:t>
            </w:r>
          </w:p>
        </w:tc>
        <w:tc>
          <w:tcPr>
            <w:tcW w:w="1945"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12777</w:t>
            </w:r>
          </w:p>
        </w:tc>
        <w:tc>
          <w:tcPr>
            <w:tcW w:w="1934"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12777</w:t>
            </w:r>
          </w:p>
        </w:tc>
      </w:tr>
      <w:tr>
        <w:tc>
          <w:tcPr>
            <w:tcW w:w="47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2</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kern w:val="2"/>
                <w:sz w:val="21"/>
                <w:szCs w:val="21"/>
                <w:lang w:eastAsia="zh-CN" w:bidi="ar-SA"/>
              </w:rPr>
            </w:pPr>
            <w:r>
              <w:rPr>
                <w:rFonts w:ascii="仿宋_GB2312" w:eastAsia="仿宋_GB2312" w:cs="Times New Roman" w:hint="eastAsia"/>
                <w:kern w:val="2"/>
                <w:sz w:val="21"/>
                <w:szCs w:val="21"/>
                <w:lang w:eastAsia="zh-CN" w:bidi="ar-SA"/>
              </w:rPr>
              <w:t>外观</w:t>
            </w:r>
          </w:p>
        </w:tc>
        <w:tc>
          <w:tcPr>
            <w:tcW w:w="1945"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12777</w:t>
            </w:r>
          </w:p>
        </w:tc>
        <w:tc>
          <w:tcPr>
            <w:tcW w:w="1934"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12777</w:t>
            </w:r>
          </w:p>
        </w:tc>
      </w:tr>
      <w:tr>
        <w:tc>
          <w:tcPr>
            <w:tcW w:w="47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3</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压力试验</w:t>
            </w:r>
          </w:p>
        </w:tc>
        <w:tc>
          <w:tcPr>
            <w:tcW w:w="1945"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12777</w:t>
            </w:r>
          </w:p>
        </w:tc>
        <w:tc>
          <w:tcPr>
            <w:tcW w:w="1934"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12777</w:t>
            </w:r>
          </w:p>
        </w:tc>
      </w:tr>
      <w:tr>
        <w:tc>
          <w:tcPr>
            <w:tcW w:w="47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4</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气密试验</w:t>
            </w:r>
          </w:p>
        </w:tc>
        <w:tc>
          <w:tcPr>
            <w:tcW w:w="1945"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12777</w:t>
            </w:r>
          </w:p>
        </w:tc>
        <w:tc>
          <w:tcPr>
            <w:tcW w:w="1934"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12777</w:t>
            </w:r>
          </w:p>
        </w:tc>
      </w:tr>
      <w:tr>
        <w:tc>
          <w:tcPr>
            <w:tcW w:w="47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5</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kern w:val="2"/>
                <w:sz w:val="21"/>
                <w:szCs w:val="21"/>
                <w:lang w:eastAsia="zh-CN" w:bidi="ar-SA"/>
              </w:rPr>
            </w:pPr>
            <w:r>
              <w:rPr>
                <w:rFonts w:ascii="仿宋_GB2312" w:eastAsia="仿宋_GB2312" w:cs="Times New Roman" w:hint="eastAsia"/>
                <w:kern w:val="2"/>
                <w:sz w:val="21"/>
                <w:szCs w:val="21"/>
                <w:lang w:eastAsia="zh-CN" w:bidi="ar-SA"/>
              </w:rPr>
              <w:t>爆破试验</w:t>
            </w:r>
          </w:p>
        </w:tc>
        <w:tc>
          <w:tcPr>
            <w:tcW w:w="1945"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12777</w:t>
            </w:r>
          </w:p>
        </w:tc>
        <w:tc>
          <w:tcPr>
            <w:tcW w:w="1934" w:type="dxa"/>
            <w:tcBorders>
              <w:tl2br w:val="nil"/>
              <w:tr2bl w:val="nil"/>
            </w:tcBorders>
          </w:tcPr>
          <w:p>
            <w:pPr>
              <w:ind w:firstLine="0"/>
              <w:jc w:val="center"/>
              <w:rPr>
                <w:rFonts w:ascii="仿宋_GB2312" w:eastAsia="仿宋_GB2312" w:cs="仿宋_GB2312" w:hint="eastAsia"/>
                <w:szCs w:val="21"/>
                <w:lang w:bidi="ar-SA"/>
              </w:rPr>
            </w:pPr>
            <w:r>
              <w:rPr>
                <w:rFonts w:ascii="仿宋_GB2312" w:eastAsia="仿宋_GB2312" w:cs="仿宋_GB2312" w:hint="eastAsia"/>
                <w:kern w:val="2"/>
                <w:sz w:val="21"/>
                <w:szCs w:val="21"/>
                <w:lang w:eastAsia="zh-CN" w:bidi="ar-SA"/>
              </w:rPr>
              <w:t>GB/T 12777</w:t>
            </w:r>
          </w:p>
        </w:tc>
      </w:tr>
    </w:tbl>
    <w:p>
      <w:pPr>
        <w:pStyle w:val="2"/>
        <w:ind w:firstLineChars="0" w:firstLine="0"/>
        <w:rPr>
          <w:rFonts w:hint="eastAsia"/>
          <w:w w:val="110"/>
          <w:szCs w:val="24"/>
          <w:lang w:eastAsia="zh-CN"/>
        </w:rPr>
      </w:pPr>
      <w:r>
        <w:rPr>
          <w:rFonts w:hint="eastAsia"/>
          <w:w w:val="110"/>
          <w:szCs w:val="24"/>
          <w:lang w:eastAsia="zh-CN"/>
        </w:rPr>
        <w:t>5.2 检验应注意问题</w:t>
      </w:r>
    </w:p>
    <w:p>
      <w:pPr>
        <w:pStyle w:val="3"/>
        <w:ind w:firstLineChars="0" w:firstLine="0"/>
        <w:rPr>
          <w:rFonts w:ascii="Arial" w:cs="Times New Roman" w:hAnsi="Arial" w:hint="eastAsia"/>
          <w:lang w:eastAsia="zh-CN" w:bidi="ar-SA"/>
        </w:rPr>
      </w:pPr>
      <w:r>
        <w:rPr>
          <w:rFonts w:ascii="Arial" w:cs="Times New Roman" w:hAnsi="Arial" w:hint="eastAsia"/>
          <w:lang w:eastAsia="zh-CN" w:bidi="ar-SA"/>
        </w:rPr>
        <w:t>5.2.1 样品的检验分配和检验顺序</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对所抽取的波纹管膨胀节样品，先进行标志、外观的检验，再进行气密、压力检验，最后进行爆破检验。</w:t>
      </w:r>
    </w:p>
    <w:p>
      <w:pPr>
        <w:pStyle w:val="3"/>
        <w:ind w:firstLineChars="0" w:firstLine="0"/>
        <w:rPr>
          <w:rFonts w:ascii="Arial" w:cs="Times New Roman" w:hAnsi="Arial" w:hint="eastAsia"/>
          <w:lang w:eastAsia="zh-CN" w:bidi="ar-SA"/>
        </w:rPr>
      </w:pPr>
      <w:r>
        <w:rPr>
          <w:rFonts w:ascii="Arial" w:cs="Times New Roman" w:hAnsi="Arial" w:hint="eastAsia"/>
          <w:lang w:eastAsia="zh-CN" w:bidi="ar-SA"/>
        </w:rPr>
        <w:t>5.2.2 判定要求</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若被检产品明示的质量要求高于本细则中检验项目依据的标准要求时，应按被检产品明示的质量要求判定。</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若被检产品明示的质量要求低于本细则中检验项目依据的强制性标准要求时，应按照强制性标准要求判定。</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若被检产品明示的质量要求低于或包含细则中检验项目依据的推荐性标准要求时，应以被检产品明示的质量要求判定。</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若被检产品明示的质量要求缺少本细则中检验项目依据的强制性标准要求时，应按照强制性标准要求判定。</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若被检产品明示的质量要求缺少本细则中检验项目依据的推荐性标准要求时，该项目不参与判定，但应在检验报告备注中进行说明。</w:t>
      </w:r>
    </w:p>
    <w:p>
      <w:pPr>
        <w:pStyle w:val="3"/>
        <w:ind w:firstLineChars="0" w:firstLine="0"/>
        <w:rPr>
          <w:rFonts w:ascii="Arial" w:cs="Times New Roman" w:hAnsi="Arial" w:hint="eastAsia"/>
          <w:lang w:eastAsia="zh-CN" w:bidi="ar-SA"/>
        </w:rPr>
      </w:pPr>
      <w:r>
        <w:rPr>
          <w:rFonts w:ascii="Arial" w:cs="Times New Roman" w:hAnsi="Arial" w:hint="eastAsia"/>
          <w:lang w:eastAsia="zh-CN" w:bidi="ar-SA"/>
        </w:rPr>
        <w:t>5.2.3 检验后样品（特别是现场检验不合格样品）保存注意事项。</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检验后样品应做好登记入库工作，检验不合格的样品应最大程度保持不合格状态，存放样品应注意防晒、防雨淋、防潮。</w:t>
      </w:r>
    </w:p>
    <w:p>
      <w:pPr>
        <w:pStyle w:val="1"/>
        <w:spacing w:afterLines="0" w:after="156"/>
        <w:ind w:firstLineChars="0" w:firstLine="0"/>
        <w:rPr>
          <w:rFonts w:hint="eastAsia"/>
          <w:lang w:eastAsia="zh-CN"/>
        </w:rPr>
      </w:pPr>
      <w:r>
        <w:rPr>
          <w:rFonts w:hint="eastAsia"/>
          <w:lang w:eastAsia="zh-CN"/>
        </w:rPr>
        <w:t>6 判定原则</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经检验，检验项目全部合格，判定为被抽查产品合格；检验项目中任一项或一项以上不合格，判定为被抽查产品不合格。</w:t>
      </w:r>
    </w:p>
    <w:p>
      <w:pPr>
        <w:pStyle w:val="1"/>
        <w:spacing w:afterLines="0" w:after="156"/>
        <w:ind w:firstLineChars="0" w:firstLine="0"/>
        <w:rPr>
          <w:rFonts w:hint="eastAsia"/>
          <w:lang w:eastAsia="zh-CN"/>
        </w:rPr>
      </w:pPr>
      <w:r>
        <w:rPr>
          <w:rFonts w:hint="eastAsia"/>
          <w:lang w:eastAsia="zh-CN"/>
        </w:rPr>
        <w:t>7 异议复检处理</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1.核查不合格项目相关证据，能够以记录（纸质记录或电子记录或影像记录）或与不合格项目相关联的其它质量数据等检验证据证明并得到企业认可，可以不复检。</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2.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3.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rFonts w:hint="eastAsia"/>
          <w:lang w:eastAsia="zh-CN"/>
        </w:rPr>
        <w:t>8 附则</w:t>
      </w:r>
    </w:p>
    <w:p>
      <w:pPr>
        <w:adjustRightInd w:val="0"/>
        <w:snapToGrid w:val="0"/>
        <w:spacing w:line="300" w:lineRule="auto"/>
        <w:ind w:firstLineChars="200" w:firstLine="462"/>
        <w:rPr>
          <w:rFonts w:hint="eastAsia"/>
          <w:w w:val="110"/>
        </w:rPr>
      </w:pPr>
      <w:r>
        <w:rPr>
          <w:rFonts w:hint="eastAsia"/>
          <w:w w:val="110"/>
        </w:rPr>
        <w:t>本细则编写单位：秦皇岛市质量技术监督检验所。</w:t>
      </w:r>
    </w:p>
    <w:p>
      <w:pPr>
        <w:snapToGrid w:val="0"/>
        <w:spacing w:line="300" w:lineRule="auto"/>
        <w:ind w:firstLineChars="200" w:firstLine="433"/>
        <w:rPr>
          <w:spacing w:val="-1"/>
          <w:w w:val="104"/>
        </w:rPr>
      </w:pPr>
      <w:r>
        <w:rPr>
          <w:rFonts w:hint="eastAsia"/>
          <w:spacing w:val="-1"/>
          <w:w w:val="104"/>
        </w:rPr>
        <w:t>本细则由秦皇岛市市场监督管理局产品质量安全监督管理科</w:t>
      </w:r>
      <w:r>
        <w:rPr>
          <w:spacing w:val="-1"/>
          <w:w w:val="104"/>
        </w:rPr>
        <w:t>管理</w:t>
      </w:r>
      <w:r>
        <w:rPr>
          <w:rFonts w:hint="eastAsia"/>
          <w:spacing w:val="-1"/>
          <w:w w:val="104"/>
        </w:rPr>
        <w:t>。</w:t>
      </w: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autoSpaceDE w:val="0"/>
      <w:autoSpaceDN w:val="0"/>
      <w:spacing w:line="300" w:lineRule="auto"/>
      <w:ind w:firstLineChars="200" w:firstLine="200"/>
      <w:jc w:val="both"/>
      <w:outlineLvl w:val="2"/>
    </w:pPr>
    <w:rPr>
      <w:rFonts w:ascii="宋体" w:eastAsia="宋体" w:cs="宋体" w:hAnsi="Times New Roman"/>
      <w:b/>
      <w:bCs/>
      <w:kern w:val="2"/>
      <w:sz w:val="24"/>
      <w:szCs w:val="32"/>
      <w:lang w:val="en-US" w:bidi="ar-SA"/>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CF1D507B-76F7-4D8E-AD3A-DB3A195D5269}">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0</TotalTime>
  <Application>Yozo_Office27021597764231179</Application>
  <Pages>4</Pages>
  <Words>0</Words>
  <Characters>1552</Characters>
  <Lines>0</Lines>
  <Paragraphs>70</Paragraphs>
  <CharactersWithSpaces>2070</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2025-03-04T07:19:08Z</dcterms:created>
  <dcterms:modified xsi:type="dcterms:W3CDTF">2025-03-06T06:31:25Z</dcterms:modified>
</cp:coreProperties>
</file>