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-193040</wp:posOffset>
                </wp:positionH>
                <wp:positionV relativeFrom="paragraph">
                  <wp:posOffset>542925</wp:posOffset>
                </wp:positionV>
                <wp:extent cx="5822314"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22314"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15.2pt,42.75pt" to="443.24997pt,42.75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adjustRightInd w:val="0"/>
        <w:snapToGrid w:val="0"/>
        <w:spacing w:line="360" w:lineRule="auto"/>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b/>
          <w:sz w:val="52"/>
          <w:szCs w:val="52"/>
        </w:rPr>
      </w:pPr>
    </w:p>
    <w:p>
      <w:pPr>
        <w:jc w:val="center"/>
        <w:rPr>
          <w:b/>
          <w:sz w:val="52"/>
          <w:szCs w:val="52"/>
        </w:rPr>
      </w:pPr>
    </w:p>
    <w:p>
      <w:pPr>
        <w:jc w:val="center"/>
        <w:rPr>
          <w:rFonts w:hint="eastAsia"/>
          <w:b/>
          <w:sz w:val="52"/>
          <w:szCs w:val="52"/>
        </w:rPr>
      </w:pPr>
    </w:p>
    <w:p>
      <w:pPr>
        <w:jc w:val="center"/>
        <w:rPr>
          <w:rFonts w:ascii="宋体" w:hint="eastAsia"/>
          <w:sz w:val="44"/>
          <w:szCs w:val="44"/>
        </w:rPr>
      </w:pPr>
      <w:r>
        <w:rPr>
          <w:rFonts w:ascii="宋体" w:hint="eastAsia"/>
          <w:b/>
          <w:sz w:val="44"/>
          <w:szCs w:val="44"/>
        </w:rPr>
        <w:t>金属软管</w:t>
      </w:r>
    </w:p>
    <w:p>
      <w:pPr>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rPr>
          <w:rFonts w:ascii="宋体" w:hint="eastAsia"/>
          <w:b/>
          <w:sz w:val="28"/>
          <w:szCs w:val="28"/>
        </w:rPr>
      </w:pPr>
    </w:p>
    <w:p>
      <w:pPr>
        <w:rPr>
          <w:rFonts w:ascii="宋体" w:hint="eastAsia"/>
          <w:b/>
          <w:sz w:val="28"/>
          <w:szCs w:val="28"/>
        </w:rPr>
      </w:pPr>
    </w:p>
    <w:p>
      <w:pPr>
        <w:jc w:val="center"/>
        <w:rPr>
          <w:rFonts w:ascii="宋体" w:hint="eastAsia"/>
          <w:b/>
          <w:sz w:val="32"/>
          <w:szCs w:val="32"/>
        </w:rPr>
      </w:pPr>
    </w:p>
    <w:p>
      <w:pPr>
        <w:jc w:val="cente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bookmarkStart w:id="0" w:name="_GoBack"/>
      <w:bookmarkEnd w:id="0"/>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p>
    <w:p>
      <w:pPr>
        <w:pStyle w:val="1"/>
        <w:spacing w:afterLines="0" w:after="156"/>
        <w:ind w:firstLineChars="0" w:firstLine="0"/>
        <w:rPr>
          <w:rFonts w:hint="eastAsia"/>
          <w:lang w:eastAsia="zh-CN"/>
        </w:rPr>
      </w:pPr>
      <w:r>
        <w:rPr>
          <w:rFonts w:hint="eastAsia"/>
          <w:lang w:eastAsia="zh-CN"/>
        </w:rPr>
        <w:t>1 范围</w:t>
      </w:r>
    </w:p>
    <w:p>
      <w:pPr>
        <w:pStyle w:val="15"/>
        <w:rPr>
          <w:rFonts w:hint="eastAsia"/>
          <w:color w:val="525254"/>
          <w:w w:val="110"/>
          <w:sz w:val="21"/>
          <w:szCs w:val="21"/>
          <w:lang w:eastAsia="zh-CN"/>
        </w:rPr>
      </w:pPr>
      <w:r>
        <w:rPr>
          <w:rFonts w:hint="eastAsia"/>
          <w:spacing w:val="5"/>
          <w:w w:val="110"/>
          <w:sz w:val="21"/>
          <w:szCs w:val="21"/>
          <w:lang w:eastAsia="zh-CN"/>
        </w:rPr>
        <w:t>本细则适用于波纹金属软管的</w:t>
      </w:r>
      <w:r>
        <w:rPr>
          <w:rFonts w:hint="eastAsia"/>
          <w:spacing w:val="-6"/>
          <w:w w:val="110"/>
          <w:sz w:val="21"/>
          <w:szCs w:val="21"/>
          <w:lang w:eastAsia="zh-CN"/>
        </w:rPr>
        <w:t>产品质量监督抽查</w:t>
      </w:r>
      <w:r>
        <w:rPr>
          <w:rFonts w:hint="eastAsia"/>
          <w:w w:val="110"/>
          <w:sz w:val="21"/>
          <w:szCs w:val="21"/>
          <w:lang w:eastAsia="zh-CN"/>
        </w:rPr>
        <w:t xml:space="preserve"> ，针对特殊情况的市级监督专项抽查、县级以上地方质量技术监督部门组织的地方监督抽查可参照执行。监督抽查产品为波纹金属软管。本细则内容包括术语和定义、检验依据、抽</w:t>
      </w:r>
      <w:r>
        <w:rPr>
          <w:rFonts w:hint="eastAsia"/>
          <w:spacing w:val="-1"/>
          <w:w w:val="104"/>
          <w:sz w:val="21"/>
          <w:szCs w:val="21"/>
          <w:lang w:eastAsia="zh-CN"/>
        </w:rPr>
        <w:t>样、检验要求、判定原则、异</w:t>
      </w:r>
      <w:r>
        <w:rPr>
          <w:rFonts w:hint="eastAsia"/>
          <w:w w:val="110"/>
          <w:sz w:val="21"/>
          <w:szCs w:val="21"/>
          <w:lang w:eastAsia="zh-CN"/>
        </w:rPr>
        <w:t>议处理及附则</w:t>
      </w:r>
      <w:r>
        <w:rPr>
          <w:rFonts w:hint="eastAsia"/>
          <w:color w:val="525254"/>
          <w:w w:val="110"/>
          <w:sz w:val="21"/>
          <w:szCs w:val="21"/>
          <w:lang w:eastAsia="zh-CN"/>
        </w:rPr>
        <w:t>。</w:t>
      </w:r>
    </w:p>
    <w:p>
      <w:pPr>
        <w:pStyle w:val="1"/>
        <w:spacing w:afterLines="0" w:after="156"/>
        <w:ind w:firstLineChars="0" w:firstLine="0"/>
        <w:rPr>
          <w:rFonts w:hint="eastAsia"/>
          <w:lang w:eastAsia="zh-CN"/>
        </w:rPr>
      </w:pPr>
      <w:r>
        <w:rPr>
          <w:rFonts w:hint="eastAsia"/>
          <w:lang w:eastAsia="zh-CN"/>
        </w:rPr>
        <w:t>2 术语和定义</w:t>
      </w:r>
    </w:p>
    <w:p>
      <w:pPr>
        <w:pStyle w:val="15"/>
        <w:rPr>
          <w:rFonts w:hint="eastAsia"/>
          <w:spacing w:val="5"/>
          <w:w w:val="110"/>
          <w:sz w:val="21"/>
          <w:szCs w:val="21"/>
          <w:lang w:eastAsia="zh-CN"/>
        </w:rPr>
      </w:pPr>
      <w:r>
        <w:rPr>
          <w:rFonts w:hint="eastAsia"/>
          <w:spacing w:val="5"/>
          <w:w w:val="110"/>
          <w:sz w:val="21"/>
          <w:szCs w:val="21"/>
          <w:lang w:eastAsia="zh-CN"/>
        </w:rPr>
        <w:t>下列术语和定义适用于本细则。</w:t>
      </w:r>
    </w:p>
    <w:p>
      <w:pPr>
        <w:pStyle w:val="2"/>
        <w:ind w:firstLineChars="0" w:firstLine="0"/>
        <w:rPr>
          <w:rFonts w:hint="eastAsia"/>
          <w:w w:val="110"/>
          <w:szCs w:val="24"/>
          <w:lang w:eastAsia="zh-CN"/>
        </w:rPr>
      </w:pPr>
      <w:bookmarkStart w:id="1" w:name="OLE_LINK2"/>
      <w:r>
        <w:rPr>
          <w:rFonts w:hint="eastAsia"/>
          <w:w w:val="110"/>
          <w:szCs w:val="24"/>
          <w:lang w:eastAsia="zh-CN"/>
        </w:rPr>
        <w:t>2.1 波纹管</w:t>
      </w:r>
    </w:p>
    <w:p>
      <w:pPr>
        <w:pStyle w:val="15"/>
        <w:rPr>
          <w:rFonts w:hint="eastAsia"/>
          <w:spacing w:val="5"/>
          <w:w w:val="110"/>
          <w:sz w:val="21"/>
          <w:szCs w:val="21"/>
          <w:lang w:eastAsia="zh-CN"/>
        </w:rPr>
      </w:pPr>
      <w:bookmarkEnd w:id="1"/>
      <w:r>
        <w:rPr>
          <w:rFonts w:hint="eastAsia"/>
          <w:spacing w:val="5"/>
          <w:w w:val="110"/>
          <w:sz w:val="21"/>
          <w:szCs w:val="21"/>
          <w:lang w:eastAsia="zh-CN"/>
        </w:rPr>
        <w:t>母线呈波纹状的管状壳体。</w:t>
      </w:r>
    </w:p>
    <w:p>
      <w:pPr>
        <w:pStyle w:val="2"/>
        <w:ind w:firstLineChars="0" w:firstLine="0"/>
        <w:rPr>
          <w:rFonts w:hint="eastAsia"/>
          <w:w w:val="110"/>
          <w:szCs w:val="24"/>
          <w:lang w:eastAsia="zh-CN"/>
        </w:rPr>
      </w:pPr>
      <w:r>
        <w:rPr>
          <w:rFonts w:hint="eastAsia"/>
          <w:w w:val="110"/>
          <w:szCs w:val="24"/>
          <w:lang w:eastAsia="zh-CN"/>
        </w:rPr>
        <w:t>2.2 波纹金属软管</w:t>
      </w:r>
    </w:p>
    <w:p>
      <w:pPr>
        <w:pStyle w:val="15"/>
        <w:rPr>
          <w:rFonts w:hint="eastAsia"/>
          <w:spacing w:val="5"/>
          <w:w w:val="110"/>
          <w:sz w:val="21"/>
          <w:szCs w:val="21"/>
          <w:lang w:eastAsia="zh-CN"/>
        </w:rPr>
      </w:pPr>
      <w:r>
        <w:rPr>
          <w:rFonts w:hint="eastAsia"/>
          <w:spacing w:val="5"/>
          <w:w w:val="110"/>
          <w:sz w:val="21"/>
          <w:szCs w:val="21"/>
          <w:lang w:eastAsia="zh-CN"/>
        </w:rPr>
        <w:t>波纹管、网套和接头的组合或波纹管和接头的组合。</w:t>
      </w:r>
    </w:p>
    <w:p>
      <w:pPr>
        <w:pStyle w:val="1"/>
        <w:spacing w:afterLines="0" w:after="156"/>
        <w:ind w:firstLineChars="0" w:firstLine="0"/>
        <w:rPr>
          <w:rFonts w:hint="eastAsia"/>
          <w:lang w:eastAsia="zh-CN"/>
        </w:rPr>
      </w:pPr>
      <w:r>
        <w:rPr>
          <w:rFonts w:hint="eastAsia"/>
          <w:lang w:eastAsia="zh-CN"/>
        </w:rPr>
        <w:t>3 检验依据</w:t>
      </w:r>
    </w:p>
    <w:p>
      <w:pPr>
        <w:pStyle w:val="15"/>
        <w:rPr>
          <w:rFonts w:hint="eastAsia"/>
          <w:spacing w:val="5"/>
          <w:w w:val="110"/>
          <w:sz w:val="21"/>
          <w:szCs w:val="21"/>
          <w:lang w:eastAsia="zh-CN"/>
        </w:rPr>
      </w:pPr>
      <w:r>
        <w:rPr>
          <w:rFonts w:hint="eastAsia"/>
          <w:spacing w:val="5"/>
          <w:w w:val="110"/>
          <w:sz w:val="21"/>
          <w:szCs w:val="21"/>
          <w:lang w:eastAsia="zh-CN"/>
        </w:rPr>
        <w:t>凡是注日期的文件，其随后所有的修改单（不包括勘误的内容）或修订版不适用于本细则。凡是不注日期的文件，其最新版本适用于本细则。</w:t>
      </w:r>
    </w:p>
    <w:p>
      <w:pPr>
        <w:pStyle w:val="15"/>
        <w:rPr>
          <w:rFonts w:hint="eastAsia"/>
          <w:spacing w:val="5"/>
          <w:w w:val="110"/>
          <w:sz w:val="21"/>
          <w:szCs w:val="21"/>
          <w:lang w:eastAsia="zh-CN"/>
        </w:rPr>
      </w:pPr>
      <w:r>
        <w:rPr>
          <w:rFonts w:hint="eastAsia"/>
          <w:spacing w:val="5"/>
          <w:w w:val="110"/>
          <w:sz w:val="21"/>
          <w:szCs w:val="21"/>
          <w:lang w:eastAsia="zh-CN"/>
        </w:rPr>
        <w:t>GB/T 14525  波纹金属软管通用技术条件</w:t>
      </w:r>
    </w:p>
    <w:p>
      <w:pPr>
        <w:pStyle w:val="15"/>
        <w:rPr>
          <w:rFonts w:hint="eastAsia"/>
          <w:spacing w:val="5"/>
          <w:w w:val="110"/>
          <w:sz w:val="21"/>
          <w:szCs w:val="21"/>
          <w:lang w:eastAsia="zh-CN"/>
        </w:rPr>
      </w:pPr>
      <w:r>
        <w:rPr>
          <w:rFonts w:hint="eastAsia"/>
          <w:spacing w:val="5"/>
          <w:w w:val="110"/>
          <w:sz w:val="21"/>
          <w:szCs w:val="21"/>
          <w:lang w:eastAsia="zh-CN"/>
        </w:rPr>
        <w:t>相关的法律法规、部门规章和细则。</w:t>
      </w:r>
    </w:p>
    <w:p>
      <w:pPr>
        <w:pStyle w:val="15"/>
        <w:rPr>
          <w:rFonts w:hint="eastAsia"/>
          <w:spacing w:val="5"/>
          <w:w w:val="110"/>
          <w:sz w:val="21"/>
          <w:szCs w:val="21"/>
          <w:lang w:eastAsia="zh-CN"/>
        </w:rPr>
      </w:pPr>
      <w:r>
        <w:rPr>
          <w:rFonts w:hint="eastAsia"/>
          <w:spacing w:val="5"/>
          <w:w w:val="110"/>
          <w:sz w:val="21"/>
          <w:szCs w:val="21"/>
          <w:lang w:eastAsia="zh-CN"/>
        </w:rPr>
        <w:t>经备案现行有效的企业标准及产品明示质量要求</w:t>
      </w:r>
    </w:p>
    <w:p>
      <w:pPr>
        <w:pStyle w:val="1"/>
        <w:spacing w:afterLines="0" w:after="156"/>
        <w:ind w:firstLineChars="0" w:firstLine="0"/>
        <w:rPr>
          <w:rFonts w:hint="eastAsia"/>
          <w:lang w:eastAsia="zh-CN"/>
        </w:rPr>
      </w:pPr>
      <w:r>
        <w:rPr>
          <w:rFonts w:hint="eastAsia"/>
          <w:lang w:eastAsia="zh-CN"/>
        </w:rPr>
        <w:t>4 抽样</w:t>
      </w:r>
    </w:p>
    <w:p>
      <w:pPr>
        <w:pStyle w:val="2"/>
        <w:ind w:firstLineChars="0" w:firstLine="0"/>
        <w:rPr>
          <w:rFonts w:hint="eastAsia"/>
          <w:w w:val="110"/>
          <w:szCs w:val="24"/>
          <w:lang w:eastAsia="zh-CN"/>
        </w:rPr>
      </w:pPr>
      <w:r>
        <w:rPr>
          <w:rFonts w:hint="eastAsia"/>
          <w:w w:val="110"/>
          <w:szCs w:val="24"/>
          <w:lang w:eastAsia="zh-CN"/>
        </w:rPr>
        <w:t>4.1 抽样型号或规格</w:t>
      </w:r>
    </w:p>
    <w:p>
      <w:pPr>
        <w:pStyle w:val="15"/>
        <w:rPr>
          <w:rFonts w:hint="eastAsia"/>
          <w:spacing w:val="5"/>
          <w:w w:val="110"/>
          <w:sz w:val="21"/>
          <w:szCs w:val="21"/>
          <w:lang w:eastAsia="zh-CN"/>
        </w:rPr>
      </w:pPr>
      <w:r>
        <w:rPr>
          <w:rFonts w:hint="eastAsia"/>
          <w:spacing w:val="5"/>
          <w:w w:val="110"/>
          <w:sz w:val="21"/>
          <w:szCs w:val="21"/>
          <w:lang w:eastAsia="zh-CN"/>
        </w:rPr>
        <w:t>抽样样品应为同一规格、同一批次的产品。</w:t>
      </w:r>
    </w:p>
    <w:p>
      <w:pPr>
        <w:pStyle w:val="2"/>
        <w:ind w:firstLineChars="0" w:firstLine="0"/>
        <w:rPr>
          <w:rFonts w:hint="eastAsia"/>
          <w:w w:val="110"/>
          <w:szCs w:val="24"/>
          <w:lang w:eastAsia="zh-CN"/>
        </w:rPr>
      </w:pPr>
      <w:r>
        <w:rPr>
          <w:rFonts w:hint="eastAsia"/>
          <w:w w:val="110"/>
          <w:szCs w:val="24"/>
          <w:lang w:eastAsia="zh-CN"/>
        </w:rPr>
        <w:t>4.2 抽样方法、基数及数量</w:t>
      </w:r>
    </w:p>
    <w:p>
      <w:pPr>
        <w:pStyle w:val="15"/>
        <w:rPr>
          <w:rFonts w:hint="eastAsia"/>
          <w:spacing w:val="5"/>
          <w:w w:val="110"/>
          <w:sz w:val="21"/>
          <w:szCs w:val="21"/>
          <w:lang w:eastAsia="zh-CN"/>
        </w:rPr>
      </w:pPr>
      <w:r>
        <w:rPr>
          <w:rFonts w:hint="eastAsia"/>
          <w:spacing w:val="5"/>
          <w:w w:val="110"/>
          <w:sz w:val="21"/>
          <w:szCs w:val="21"/>
          <w:lang w:eastAsia="zh-CN"/>
        </w:rPr>
        <w:t>在企业的成品库内或市场待销产品中随机抽取有产品质量检验合格证明或者以其它形式标明合格的、近期生产的产品。</w:t>
      </w:r>
    </w:p>
    <w:p>
      <w:pPr>
        <w:pStyle w:val="15"/>
        <w:rPr>
          <w:rFonts w:hint="eastAsia"/>
          <w:spacing w:val="5"/>
          <w:w w:val="110"/>
          <w:sz w:val="21"/>
          <w:szCs w:val="21"/>
          <w:lang w:eastAsia="zh-CN"/>
        </w:rPr>
      </w:pPr>
      <w:r>
        <w:rPr>
          <w:rFonts w:hint="eastAsia"/>
          <w:spacing w:val="5"/>
          <w:w w:val="110"/>
          <w:sz w:val="21"/>
          <w:szCs w:val="21"/>
          <w:lang w:eastAsia="zh-CN"/>
        </w:rPr>
        <w:t>随机数一般可使用随机数表、骰子或扑克牌等方法产生。</w:t>
      </w:r>
    </w:p>
    <w:p>
      <w:pPr>
        <w:pStyle w:val="15"/>
        <w:rPr>
          <w:rFonts w:hint="eastAsia"/>
          <w:spacing w:val="5"/>
          <w:w w:val="110"/>
          <w:sz w:val="21"/>
          <w:szCs w:val="21"/>
          <w:lang w:eastAsia="zh-CN"/>
        </w:rPr>
      </w:pPr>
      <w:r>
        <w:rPr>
          <w:rFonts w:hint="eastAsia"/>
          <w:spacing w:val="5"/>
          <w:w w:val="110"/>
          <w:sz w:val="21"/>
          <w:szCs w:val="21"/>
          <w:lang w:eastAsia="zh-CN"/>
        </w:rPr>
        <w:t>每批次产品抽取样品2支，一支作为检验样品，1支作为备用样品。</w:t>
      </w:r>
    </w:p>
    <w:p>
      <w:pPr>
        <w:pStyle w:val="15"/>
        <w:rPr>
          <w:rFonts w:hint="eastAsia"/>
          <w:spacing w:val="5"/>
          <w:w w:val="110"/>
          <w:sz w:val="21"/>
          <w:szCs w:val="21"/>
          <w:lang w:eastAsia="zh-CN"/>
        </w:rPr>
      </w:pPr>
      <w:r>
        <w:rPr>
          <w:rFonts w:hint="eastAsia"/>
          <w:spacing w:val="5"/>
          <w:w w:val="110"/>
          <w:sz w:val="21"/>
          <w:szCs w:val="21"/>
          <w:lang w:eastAsia="zh-CN"/>
        </w:rPr>
        <w:t>抽样基数满足抽样数量即可。</w:t>
      </w:r>
    </w:p>
    <w:p>
      <w:pPr>
        <w:pStyle w:val="2"/>
        <w:ind w:firstLineChars="0" w:firstLine="0"/>
        <w:rPr>
          <w:rFonts w:hint="eastAsia"/>
          <w:w w:val="110"/>
          <w:szCs w:val="24"/>
          <w:lang w:eastAsia="zh-CN"/>
        </w:rPr>
      </w:pPr>
      <w:r>
        <w:rPr>
          <w:rFonts w:hint="eastAsia"/>
          <w:w w:val="110"/>
          <w:szCs w:val="24"/>
          <w:lang w:eastAsia="zh-CN"/>
        </w:rPr>
        <w:t>4.3 样品处置</w:t>
      </w:r>
    </w:p>
    <w:p>
      <w:pPr>
        <w:pStyle w:val="15"/>
        <w:rPr>
          <w:rFonts w:hint="eastAsia"/>
          <w:spacing w:val="5"/>
          <w:w w:val="110"/>
          <w:sz w:val="21"/>
          <w:szCs w:val="21"/>
          <w:lang w:eastAsia="zh-CN"/>
        </w:rPr>
      </w:pPr>
      <w:r>
        <w:rPr>
          <w:rFonts w:hint="eastAsia"/>
          <w:spacing w:val="5"/>
          <w:w w:val="110"/>
          <w:sz w:val="21"/>
          <w:szCs w:val="21"/>
          <w:lang w:eastAsia="zh-CN"/>
        </w:rPr>
        <w:t>对抽取的样品拍照后，用透明胶带封样。在外包装明显位置粘贴上该批产品的标牌和封条。封条应有两名抽样人员及被抽查单位相关负责人签字，并注明抽样日期。检验样品和备用样品分别签封，同时在封条显著位置上标出检验样品、备用样品同时写上企业名称。</w:t>
      </w:r>
    </w:p>
    <w:p>
      <w:pPr>
        <w:pStyle w:val="15"/>
        <w:rPr>
          <w:rFonts w:hint="eastAsia"/>
          <w:spacing w:val="5"/>
          <w:w w:val="110"/>
          <w:sz w:val="21"/>
          <w:szCs w:val="21"/>
          <w:lang w:eastAsia="zh-CN"/>
        </w:rPr>
      </w:pPr>
      <w:r>
        <w:rPr>
          <w:rFonts w:hint="eastAsia"/>
          <w:spacing w:val="5"/>
          <w:w w:val="110"/>
          <w:sz w:val="21"/>
          <w:szCs w:val="21"/>
          <w:lang w:eastAsia="zh-CN"/>
        </w:rPr>
        <w:t>样品由抽样单位送到检验机构，备用样品由检验机构存放。样品到达后，由检验机构接收样品人员目视查验包裹是否有破损、封条是否完好等，并留存样品接收记录、影像资料等。</w:t>
      </w:r>
    </w:p>
    <w:p>
      <w:pPr>
        <w:pStyle w:val="2"/>
        <w:ind w:firstLineChars="0" w:firstLine="0"/>
        <w:rPr>
          <w:rFonts w:hint="eastAsia"/>
          <w:w w:val="110"/>
          <w:szCs w:val="24"/>
          <w:lang w:eastAsia="zh-CN"/>
        </w:rPr>
      </w:pPr>
      <w:r>
        <w:rPr>
          <w:rFonts w:hint="eastAsia"/>
          <w:w w:val="110"/>
          <w:szCs w:val="24"/>
          <w:lang w:eastAsia="zh-CN"/>
        </w:rPr>
        <w:t>4.4 抽样单</w:t>
      </w:r>
    </w:p>
    <w:p>
      <w:pPr>
        <w:pStyle w:val="15"/>
        <w:rPr>
          <w:rFonts w:hint="eastAsia"/>
          <w:spacing w:val="5"/>
          <w:w w:val="110"/>
          <w:sz w:val="21"/>
          <w:szCs w:val="21"/>
          <w:lang w:eastAsia="zh-CN"/>
        </w:rPr>
      </w:pPr>
      <w:r>
        <w:rPr>
          <w:rFonts w:hint="eastAsia"/>
          <w:spacing w:val="5"/>
          <w:w w:val="110"/>
          <w:sz w:val="21"/>
          <w:szCs w:val="21"/>
          <w:lang w:eastAsia="zh-CN"/>
        </w:rPr>
        <w:t>应按有关规定填写抽样单、并记录被抽查产品及企业相关信息。</w:t>
      </w:r>
    </w:p>
    <w:p>
      <w:pPr>
        <w:pStyle w:val="1"/>
        <w:spacing w:afterLines="0" w:after="156"/>
        <w:ind w:firstLineChars="0" w:firstLine="0"/>
        <w:rPr>
          <w:rFonts w:hint="eastAsia"/>
          <w:lang w:eastAsia="zh-CN"/>
        </w:rPr>
      </w:pPr>
      <w:r>
        <w:rPr>
          <w:rFonts w:hint="eastAsia"/>
          <w:lang w:eastAsia="zh-CN"/>
        </w:rPr>
        <w:t>5 检验要求</w:t>
      </w:r>
    </w:p>
    <w:p>
      <w:pPr>
        <w:pStyle w:val="2"/>
        <w:ind w:firstLineChars="0" w:firstLine="0"/>
        <w:rPr>
          <w:rFonts w:hint="eastAsia"/>
          <w:w w:val="110"/>
          <w:szCs w:val="24"/>
          <w:lang w:eastAsia="zh-CN"/>
        </w:rPr>
      </w:pPr>
      <w:r>
        <w:rPr>
          <w:rFonts w:hint="eastAsia"/>
          <w:w w:val="110"/>
          <w:szCs w:val="24"/>
          <w:lang w:eastAsia="zh-CN"/>
        </w:rPr>
        <w:t>5.1 检验项目</w:t>
      </w:r>
    </w:p>
    <w:p>
      <w:pPr>
        <w:pStyle w:val="15"/>
        <w:rPr>
          <w:rFonts w:hint="eastAsia"/>
          <w:spacing w:val="5"/>
          <w:w w:val="110"/>
          <w:sz w:val="21"/>
          <w:szCs w:val="21"/>
          <w:lang w:eastAsia="zh-CN"/>
        </w:rPr>
      </w:pPr>
      <w:r>
        <w:rPr>
          <w:rFonts w:hint="eastAsia"/>
          <w:spacing w:val="5"/>
          <w:w w:val="110"/>
          <w:sz w:val="21"/>
          <w:szCs w:val="21"/>
          <w:lang w:eastAsia="zh-CN"/>
        </w:rPr>
        <w:t>检验项目见表1。</w:t>
      </w:r>
    </w:p>
    <w:p>
      <w:pPr>
        <w:jc w:val="center"/>
        <w:rPr>
          <w:rFonts w:hint="eastAsia"/>
          <w:b/>
          <w:spacing w:val="-1"/>
          <w:w w:val="104"/>
          <w:sz w:val="21"/>
          <w:szCs w:val="21"/>
          <w:lang w:eastAsia="zh-CN"/>
        </w:rPr>
      </w:pPr>
      <w:r>
        <w:rPr>
          <w:rFonts w:hint="eastAsia"/>
          <w:b/>
          <w:spacing w:val="30"/>
          <w:sz w:val="21"/>
          <w:szCs w:val="21"/>
          <w:lang w:eastAsia="zh-CN"/>
        </w:rPr>
        <w:t>表1 检验项目</w:t>
      </w:r>
    </w:p>
    <w:tbl>
      <w:tblPr>
        <w:jc w:val="center"/>
        <w:tblW w:w="7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72"/>
        <w:gridCol w:w="3312"/>
        <w:gridCol w:w="1945"/>
        <w:gridCol w:w="1934"/>
      </w:tblGrid>
      <w:tr>
        <w:trPr>
          <w:trHeight w:val="312"/>
          <w:tblHeader/>
        </w:trPr>
        <w:tc>
          <w:tcPr>
            <w:tcW w:w="472"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序号</w:t>
            </w:r>
          </w:p>
        </w:tc>
        <w:tc>
          <w:tcPr>
            <w:tcW w:w="3312"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检验项目</w:t>
            </w:r>
          </w:p>
        </w:tc>
        <w:tc>
          <w:tcPr>
            <w:tcW w:w="1945"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依据标准</w:t>
            </w:r>
          </w:p>
        </w:tc>
        <w:tc>
          <w:tcPr>
            <w:tcW w:w="1934"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检测方法</w:t>
            </w:r>
          </w:p>
        </w:tc>
      </w:tr>
      <w:tr>
        <w:trPr>
          <w:trHeight w:val="312"/>
          <w:tblHeader/>
        </w:trPr>
        <w:tc>
          <w:tcPr>
            <w:tcW w:w="472" w:type="dxa"/>
            <w:vMerge/>
            <w:tcBorders>
              <w:bottom w:val="single" w:sz="4" w:space="0" w:color="auto"/>
              <w:tl2br w:val="nil"/>
              <w:tr2bl w:val="nil"/>
            </w:tcBorders>
            <w:vAlign w:val="center"/>
          </w:tcPr>
          <w:p/>
        </w:tc>
        <w:tc>
          <w:tcPr>
            <w:tcW w:w="3312" w:type="dxa"/>
            <w:vMerge/>
            <w:tcBorders>
              <w:bottom w:val="single" w:sz="4" w:space="0" w:color="auto"/>
              <w:tl2br w:val="nil"/>
              <w:tr2bl w:val="nil"/>
            </w:tcBorders>
            <w:vAlign w:val="center"/>
          </w:tcPr>
          <w:p/>
        </w:tc>
        <w:tc>
          <w:tcPr>
            <w:tcW w:w="1945" w:type="dxa"/>
            <w:vMerge/>
            <w:tcBorders>
              <w:bottom w:val="single" w:sz="4" w:space="0" w:color="auto"/>
              <w:tl2br w:val="nil"/>
              <w:tr2bl w:val="nil"/>
            </w:tcBorders>
            <w:vAlign w:val="center"/>
          </w:tcPr>
          <w:p/>
        </w:tc>
        <w:tc>
          <w:tcPr>
            <w:tcW w:w="1934" w:type="dxa"/>
            <w:vMerge/>
            <w:tcBorders>
              <w:bottom w:val="single" w:sz="4" w:space="0" w:color="auto"/>
              <w:tl2br w:val="nil"/>
              <w:tr2bl w:val="nil"/>
            </w:tcBorders>
            <w:vAlign w:val="center"/>
          </w:tcPr>
          <w:p/>
        </w:tc>
      </w:tr>
      <w:tr>
        <w:tc>
          <w:tcPr>
            <w:tcW w:w="47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1</w:t>
            </w:r>
          </w:p>
        </w:tc>
        <w:tc>
          <w:tcPr>
            <w:tcW w:w="331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制造</w:t>
            </w:r>
          </w:p>
        </w:tc>
        <w:tc>
          <w:tcPr>
            <w:tcW w:w="1945"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14525</w:t>
            </w:r>
          </w:p>
        </w:tc>
        <w:tc>
          <w:tcPr>
            <w:tcW w:w="1934"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14525</w:t>
            </w:r>
          </w:p>
        </w:tc>
      </w:tr>
      <w:tr>
        <w:tc>
          <w:tcPr>
            <w:tcW w:w="47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2</w:t>
            </w:r>
          </w:p>
        </w:tc>
        <w:tc>
          <w:tcPr>
            <w:tcW w:w="3312" w:type="dxa"/>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kern w:val="2"/>
                <w:sz w:val="21"/>
                <w:szCs w:val="21"/>
                <w:lang w:eastAsia="zh-CN" w:bidi="ar-SA"/>
              </w:rPr>
            </w:pPr>
            <w:r>
              <w:rPr>
                <w:rFonts w:ascii="仿宋_GB2312" w:eastAsia="仿宋_GB2312" w:cs="Times New Roman" w:hint="eastAsia"/>
                <w:kern w:val="2"/>
                <w:sz w:val="21"/>
                <w:szCs w:val="21"/>
                <w:lang w:eastAsia="zh-CN" w:bidi="ar-SA"/>
              </w:rPr>
              <w:t>外观</w:t>
            </w:r>
          </w:p>
        </w:tc>
        <w:tc>
          <w:tcPr>
            <w:tcW w:w="1945"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14525</w:t>
            </w:r>
          </w:p>
        </w:tc>
        <w:tc>
          <w:tcPr>
            <w:tcW w:w="1934"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14525</w:t>
            </w:r>
          </w:p>
        </w:tc>
      </w:tr>
      <w:tr>
        <w:tc>
          <w:tcPr>
            <w:tcW w:w="47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3</w:t>
            </w:r>
          </w:p>
        </w:tc>
        <w:tc>
          <w:tcPr>
            <w:tcW w:w="331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耐压</w:t>
            </w:r>
          </w:p>
        </w:tc>
        <w:tc>
          <w:tcPr>
            <w:tcW w:w="1945"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14525</w:t>
            </w:r>
          </w:p>
        </w:tc>
        <w:tc>
          <w:tcPr>
            <w:tcW w:w="1934"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14525</w:t>
            </w:r>
          </w:p>
        </w:tc>
      </w:tr>
      <w:tr>
        <w:tc>
          <w:tcPr>
            <w:tcW w:w="47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4</w:t>
            </w:r>
          </w:p>
        </w:tc>
        <w:tc>
          <w:tcPr>
            <w:tcW w:w="331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气密</w:t>
            </w:r>
          </w:p>
        </w:tc>
        <w:tc>
          <w:tcPr>
            <w:tcW w:w="1945"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14525</w:t>
            </w:r>
          </w:p>
        </w:tc>
        <w:tc>
          <w:tcPr>
            <w:tcW w:w="1934"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14525</w:t>
            </w:r>
          </w:p>
        </w:tc>
      </w:tr>
      <w:tr>
        <w:tc>
          <w:tcPr>
            <w:tcW w:w="47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5</w:t>
            </w:r>
          </w:p>
        </w:tc>
        <w:tc>
          <w:tcPr>
            <w:tcW w:w="3312" w:type="dxa"/>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kern w:val="2"/>
                <w:sz w:val="21"/>
                <w:szCs w:val="21"/>
                <w:lang w:eastAsia="zh-CN" w:bidi="ar-SA"/>
              </w:rPr>
            </w:pPr>
            <w:r>
              <w:rPr>
                <w:rFonts w:ascii="仿宋_GB2312" w:eastAsia="仿宋_GB2312" w:cs="Times New Roman" w:hint="eastAsia"/>
                <w:kern w:val="2"/>
                <w:sz w:val="21"/>
                <w:szCs w:val="21"/>
                <w:lang w:eastAsia="zh-CN" w:bidi="ar-SA"/>
              </w:rPr>
              <w:t>爆破</w:t>
            </w:r>
          </w:p>
        </w:tc>
        <w:tc>
          <w:tcPr>
            <w:tcW w:w="1945"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14525</w:t>
            </w:r>
          </w:p>
        </w:tc>
        <w:tc>
          <w:tcPr>
            <w:tcW w:w="1934"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14525</w:t>
            </w:r>
          </w:p>
        </w:tc>
      </w:tr>
    </w:tbl>
    <w:p>
      <w:pPr>
        <w:pStyle w:val="2"/>
        <w:ind w:firstLineChars="0" w:firstLine="0"/>
        <w:rPr>
          <w:rFonts w:hint="eastAsia"/>
          <w:w w:val="110"/>
          <w:szCs w:val="24"/>
          <w:lang w:eastAsia="zh-CN"/>
        </w:rPr>
      </w:pPr>
      <w:r>
        <w:rPr>
          <w:rFonts w:hint="eastAsia"/>
          <w:w w:val="110"/>
          <w:szCs w:val="24"/>
          <w:lang w:eastAsia="zh-CN"/>
        </w:rPr>
        <w:t>5.2 检验应注意问题</w:t>
      </w:r>
    </w:p>
    <w:p>
      <w:pPr>
        <w:pStyle w:val="3"/>
        <w:ind w:firstLineChars="0" w:firstLine="0"/>
        <w:rPr>
          <w:rFonts w:ascii="Arial" w:cs="Times New Roman" w:hAnsi="Arial" w:hint="eastAsia"/>
          <w:lang w:eastAsia="zh-CN" w:bidi="ar-SA"/>
        </w:rPr>
      </w:pPr>
      <w:r>
        <w:rPr>
          <w:rFonts w:ascii="Arial" w:cs="Times New Roman" w:hAnsi="Arial" w:hint="eastAsia"/>
          <w:lang w:eastAsia="zh-CN" w:bidi="ar-SA"/>
        </w:rPr>
        <w:t>5.2.1 样品的检验分配和检验顺序</w:t>
      </w:r>
    </w:p>
    <w:p>
      <w:pPr>
        <w:pStyle w:val="15"/>
        <w:rPr>
          <w:rFonts w:hint="eastAsia"/>
          <w:spacing w:val="5"/>
          <w:w w:val="110"/>
          <w:sz w:val="21"/>
          <w:szCs w:val="21"/>
          <w:lang w:eastAsia="zh-CN"/>
        </w:rPr>
      </w:pPr>
      <w:r>
        <w:rPr>
          <w:rFonts w:hint="eastAsia"/>
          <w:spacing w:val="5"/>
          <w:w w:val="110"/>
          <w:sz w:val="21"/>
          <w:szCs w:val="21"/>
          <w:lang w:eastAsia="zh-CN"/>
        </w:rPr>
        <w:t>对所抽取的波纹金属软管样品，先进行制造、外观的检验，再进行耐压、气密检验、爆破检验，最后进行化学成分检测。</w:t>
      </w:r>
    </w:p>
    <w:p>
      <w:pPr>
        <w:pStyle w:val="3"/>
        <w:ind w:firstLineChars="0" w:firstLine="0"/>
        <w:rPr>
          <w:rFonts w:ascii="Arial" w:cs="Times New Roman" w:hAnsi="Arial" w:hint="eastAsia"/>
          <w:lang w:eastAsia="zh-CN" w:bidi="ar-SA"/>
        </w:rPr>
      </w:pPr>
      <w:r>
        <w:rPr>
          <w:rFonts w:ascii="Arial" w:cs="Times New Roman" w:hAnsi="Arial" w:hint="eastAsia"/>
          <w:lang w:eastAsia="zh-CN" w:bidi="ar-SA"/>
        </w:rPr>
        <w:t>5.2.2 判定要求</w:t>
      </w:r>
    </w:p>
    <w:p>
      <w:pPr>
        <w:pStyle w:val="15"/>
        <w:rPr>
          <w:rFonts w:hint="eastAsia"/>
          <w:spacing w:val="5"/>
          <w:w w:val="110"/>
          <w:sz w:val="21"/>
          <w:szCs w:val="21"/>
          <w:lang w:eastAsia="zh-CN"/>
        </w:rPr>
      </w:pPr>
      <w:r>
        <w:rPr>
          <w:rFonts w:hint="eastAsia"/>
          <w:spacing w:val="5"/>
          <w:w w:val="110"/>
          <w:sz w:val="21"/>
          <w:szCs w:val="21"/>
          <w:lang w:eastAsia="zh-CN"/>
        </w:rPr>
        <w:t>若被检产品明示的质量要求高于本细则中检验项目依据的标准要求时，应按被检产品明示的质量要求判定。</w:t>
      </w:r>
    </w:p>
    <w:p>
      <w:pPr>
        <w:pStyle w:val="15"/>
        <w:rPr>
          <w:rFonts w:hint="eastAsia"/>
          <w:spacing w:val="5"/>
          <w:w w:val="110"/>
          <w:sz w:val="21"/>
          <w:szCs w:val="21"/>
          <w:lang w:eastAsia="zh-CN"/>
        </w:rPr>
      </w:pPr>
      <w:r>
        <w:rPr>
          <w:rFonts w:hint="eastAsia"/>
          <w:spacing w:val="5"/>
          <w:w w:val="110"/>
          <w:sz w:val="21"/>
          <w:szCs w:val="21"/>
          <w:lang w:eastAsia="zh-CN"/>
        </w:rPr>
        <w:t>若被检产品明示的质量要求低于本细则中检验项目依据的强制性标准要求时，应按照强制性标准要求判定。</w:t>
      </w:r>
    </w:p>
    <w:p>
      <w:pPr>
        <w:pStyle w:val="15"/>
        <w:rPr>
          <w:rFonts w:hint="eastAsia"/>
          <w:spacing w:val="5"/>
          <w:w w:val="110"/>
          <w:sz w:val="21"/>
          <w:szCs w:val="21"/>
          <w:lang w:eastAsia="zh-CN"/>
        </w:rPr>
      </w:pPr>
      <w:r>
        <w:rPr>
          <w:rFonts w:hint="eastAsia"/>
          <w:spacing w:val="5"/>
          <w:w w:val="110"/>
          <w:sz w:val="21"/>
          <w:szCs w:val="21"/>
          <w:lang w:eastAsia="zh-CN"/>
        </w:rPr>
        <w:t>若被检产品明示的质量要求低于或包含细则中检验项目依据的推荐性标准要求时，应以被检产品明示的质量要求判定。</w:t>
      </w:r>
    </w:p>
    <w:p>
      <w:pPr>
        <w:pStyle w:val="15"/>
        <w:rPr>
          <w:rFonts w:hint="eastAsia"/>
          <w:spacing w:val="5"/>
          <w:w w:val="110"/>
          <w:sz w:val="21"/>
          <w:szCs w:val="21"/>
          <w:lang w:eastAsia="zh-CN"/>
        </w:rPr>
      </w:pPr>
      <w:r>
        <w:rPr>
          <w:rFonts w:hint="eastAsia"/>
          <w:spacing w:val="5"/>
          <w:w w:val="110"/>
          <w:sz w:val="21"/>
          <w:szCs w:val="21"/>
          <w:lang w:eastAsia="zh-CN"/>
        </w:rPr>
        <w:t>若被检产品明示的质量要求缺少本细则中检验项目依据的强制性标准要求时，应按照强制性标准要求判定。</w:t>
      </w:r>
    </w:p>
    <w:p>
      <w:pPr>
        <w:pStyle w:val="15"/>
        <w:rPr>
          <w:rFonts w:hint="eastAsia"/>
          <w:spacing w:val="5"/>
          <w:w w:val="110"/>
          <w:sz w:val="21"/>
          <w:szCs w:val="21"/>
          <w:lang w:eastAsia="zh-CN"/>
        </w:rPr>
      </w:pPr>
      <w:r>
        <w:rPr>
          <w:rFonts w:hint="eastAsia"/>
          <w:spacing w:val="5"/>
          <w:w w:val="110"/>
          <w:sz w:val="21"/>
          <w:szCs w:val="21"/>
          <w:lang w:eastAsia="zh-CN"/>
        </w:rPr>
        <w:t>若被检产品明示的质量要求缺少本细则中检验项目依据的推荐性标准要求时，该项目不参与判定，但应在检验报告备注中进行说明。</w:t>
      </w:r>
    </w:p>
    <w:p>
      <w:pPr>
        <w:pStyle w:val="3"/>
        <w:ind w:firstLineChars="0" w:firstLine="0"/>
        <w:rPr>
          <w:rFonts w:ascii="Arial" w:cs="Times New Roman" w:hAnsi="Arial" w:hint="eastAsia"/>
          <w:lang w:eastAsia="zh-CN" w:bidi="ar-SA"/>
        </w:rPr>
      </w:pPr>
      <w:r>
        <w:rPr>
          <w:rFonts w:ascii="Arial" w:cs="Times New Roman" w:hAnsi="Arial" w:hint="eastAsia"/>
          <w:lang w:eastAsia="zh-CN" w:bidi="ar-SA"/>
        </w:rPr>
        <w:t>5.2.3 检验后样品（特别是现场检验不合格样品）保存注意事项。</w:t>
      </w:r>
    </w:p>
    <w:p>
      <w:pPr>
        <w:pStyle w:val="15"/>
        <w:rPr>
          <w:rFonts w:hint="eastAsia"/>
          <w:spacing w:val="5"/>
          <w:w w:val="110"/>
          <w:sz w:val="21"/>
          <w:szCs w:val="21"/>
          <w:lang w:eastAsia="zh-CN"/>
        </w:rPr>
      </w:pPr>
      <w:r>
        <w:rPr>
          <w:rFonts w:hint="eastAsia"/>
          <w:spacing w:val="5"/>
          <w:w w:val="110"/>
          <w:sz w:val="21"/>
          <w:szCs w:val="21"/>
          <w:lang w:eastAsia="zh-CN"/>
        </w:rPr>
        <w:t>检验后样品应做好登记入库工作，检验不合格的样品应最大程度保持不合格状态，存放样品应注意防晒、防雨淋、防潮。</w:t>
      </w:r>
    </w:p>
    <w:p>
      <w:pPr>
        <w:pStyle w:val="1"/>
        <w:spacing w:afterLines="0" w:after="156"/>
        <w:ind w:firstLineChars="0" w:firstLine="0"/>
        <w:rPr>
          <w:rFonts w:hint="eastAsia"/>
          <w:lang w:eastAsia="zh-CN"/>
        </w:rPr>
      </w:pPr>
      <w:r>
        <w:rPr>
          <w:rFonts w:hint="eastAsia"/>
          <w:lang w:eastAsia="zh-CN"/>
        </w:rPr>
        <w:t>6 判定原则</w:t>
      </w:r>
    </w:p>
    <w:p>
      <w:pPr>
        <w:pStyle w:val="15"/>
        <w:rPr>
          <w:rFonts w:hint="eastAsia"/>
          <w:spacing w:val="5"/>
          <w:w w:val="110"/>
          <w:sz w:val="21"/>
          <w:szCs w:val="21"/>
          <w:lang w:eastAsia="zh-CN"/>
        </w:rPr>
      </w:pPr>
      <w:r>
        <w:rPr>
          <w:rFonts w:hint="eastAsia"/>
          <w:spacing w:val="5"/>
          <w:w w:val="110"/>
          <w:sz w:val="21"/>
          <w:szCs w:val="21"/>
          <w:lang w:eastAsia="zh-CN"/>
        </w:rPr>
        <w:t>经检验，检验项目全部合格，判定为被抽查产品合格；检验项目中任一项或一项以上不合格，判定为被抽查产品不合格。</w:t>
      </w:r>
    </w:p>
    <w:p>
      <w:pPr>
        <w:pStyle w:val="1"/>
        <w:spacing w:afterLines="0" w:after="156"/>
        <w:ind w:firstLineChars="0" w:firstLine="0"/>
        <w:rPr>
          <w:rFonts w:hint="eastAsia"/>
          <w:lang w:eastAsia="zh-CN"/>
        </w:rPr>
      </w:pPr>
      <w:r>
        <w:rPr>
          <w:rFonts w:hint="eastAsia"/>
          <w:lang w:eastAsia="zh-CN"/>
        </w:rPr>
        <w:t>7 异议复检处理</w:t>
      </w:r>
    </w:p>
    <w:p>
      <w:pPr>
        <w:pStyle w:val="15"/>
        <w:rPr>
          <w:rFonts w:hint="eastAsia"/>
          <w:spacing w:val="5"/>
          <w:w w:val="110"/>
          <w:sz w:val="21"/>
          <w:szCs w:val="21"/>
          <w:lang w:eastAsia="zh-CN"/>
        </w:rPr>
      </w:pPr>
      <w:r>
        <w:rPr>
          <w:rFonts w:hint="eastAsia"/>
          <w:spacing w:val="5"/>
          <w:w w:val="110"/>
          <w:sz w:val="21"/>
          <w:szCs w:val="21"/>
          <w:lang w:eastAsia="zh-CN"/>
        </w:rPr>
        <w:t>1.核查不合格项目相关证据，能够以记录（纸质记录或电子记录或影像记录）或与不合格项目相关联的其它质量数据等检验证据证明并得到企业认可，可以不复检。</w:t>
      </w:r>
    </w:p>
    <w:p>
      <w:pPr>
        <w:pStyle w:val="15"/>
        <w:rPr>
          <w:rFonts w:hint="eastAsia"/>
          <w:spacing w:val="5"/>
          <w:w w:val="110"/>
          <w:sz w:val="21"/>
          <w:szCs w:val="21"/>
          <w:lang w:eastAsia="zh-CN"/>
        </w:rPr>
      </w:pPr>
      <w:r>
        <w:rPr>
          <w:rFonts w:hint="eastAsia"/>
          <w:spacing w:val="5"/>
          <w:w w:val="110"/>
          <w:sz w:val="21"/>
          <w:szCs w:val="21"/>
          <w:lang w:eastAsia="zh-CN"/>
        </w:rPr>
        <w:t>2.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pStyle w:val="15"/>
        <w:rPr>
          <w:rFonts w:hint="eastAsia"/>
          <w:spacing w:val="5"/>
          <w:w w:val="110"/>
          <w:sz w:val="21"/>
          <w:szCs w:val="21"/>
          <w:lang w:eastAsia="zh-CN"/>
        </w:rPr>
      </w:pPr>
      <w:r>
        <w:rPr>
          <w:rFonts w:hint="eastAsia"/>
          <w:spacing w:val="5"/>
          <w:w w:val="110"/>
          <w:sz w:val="21"/>
          <w:szCs w:val="21"/>
          <w:lang w:eastAsia="zh-CN"/>
        </w:rPr>
        <w:t>3.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afterLines="0" w:after="156"/>
        <w:ind w:firstLineChars="0" w:firstLine="0"/>
        <w:rPr>
          <w:rFonts w:hint="eastAsia"/>
          <w:lang w:eastAsia="zh-CN"/>
        </w:rPr>
      </w:pPr>
      <w:r>
        <w:rPr>
          <w:rFonts w:hint="eastAsia"/>
          <w:lang w:eastAsia="zh-CN"/>
        </w:rPr>
        <w:t>8 附则</w:t>
      </w:r>
    </w:p>
    <w:p>
      <w:pPr>
        <w:pStyle w:val="15"/>
        <w:rPr>
          <w:rFonts w:hint="eastAsia"/>
          <w:spacing w:val="5"/>
          <w:w w:val="110"/>
          <w:sz w:val="21"/>
          <w:szCs w:val="21"/>
          <w:lang w:eastAsia="zh-CN"/>
        </w:rPr>
      </w:pPr>
      <w:r>
        <w:rPr>
          <w:rFonts w:hint="eastAsia"/>
          <w:spacing w:val="5"/>
          <w:w w:val="110"/>
          <w:sz w:val="21"/>
          <w:szCs w:val="21"/>
          <w:lang w:eastAsia="zh-CN"/>
        </w:rPr>
        <w:t>本细则编写单位：秦皇岛市质量技术监督检验所。</w:t>
      </w:r>
    </w:p>
    <w:p>
      <w:pPr>
        <w:snapToGrid w:val="0"/>
        <w:spacing w:line="300" w:lineRule="auto"/>
        <w:ind w:left="0" w:firstLineChars="200" w:firstLine="462"/>
        <w:rPr>
          <w:rFonts w:ascii="宋体" w:cs="宋体" w:hint="eastAsia"/>
          <w:w w:val="110"/>
          <w:szCs w:val="21"/>
          <w:lang w:bidi="ar-SA"/>
        </w:rPr>
      </w:pPr>
      <w:r>
        <w:rPr>
          <w:rFonts w:ascii="宋体" w:cs="宋体" w:hint="eastAsia"/>
          <w:w w:val="110"/>
          <w:szCs w:val="21"/>
          <w:lang w:bidi="ar-SA"/>
        </w:rPr>
        <w:t>本细则由秦皇岛市市场监督管理局产品质量安全监督管理科管理。</w:t>
      </w:r>
    </w:p>
    <w:p>
      <w:pPr>
        <w:pStyle w:val="15"/>
        <w:rPr>
          <w:rFonts w:hint="eastAsia"/>
          <w:spacing w:val="5"/>
          <w:w w:val="110"/>
          <w:sz w:val="21"/>
          <w:szCs w:val="21"/>
          <w:lang w:eastAsia="zh-CN"/>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autoSpaceDE w:val="0"/>
      <w:autoSpaceDN w:val="0"/>
      <w:spacing w:line="300" w:lineRule="auto"/>
      <w:ind w:firstLineChars="200" w:firstLine="200"/>
      <w:jc w:val="both"/>
      <w:outlineLvl w:val="2"/>
    </w:pPr>
    <w:rPr>
      <w:rFonts w:ascii="宋体" w:eastAsia="宋体" w:cs="宋体" w:hAnsi="Times New Roman"/>
      <w:b/>
      <w:bCs/>
      <w:kern w:val="2"/>
      <w:sz w:val="24"/>
      <w:szCs w:val="32"/>
      <w:lang w:val="en-US" w:bidi="ar-SA"/>
    </w:rPr>
  </w:style>
  <w:style w:type="character" w:default="1" w:styleId="10">
    <w:name w:val="Default Paragraph Font"/>
  </w:style>
  <w:style w:type="paragraph" w:styleId="15">
    <w:name w:val="Body Text"/>
    <w:basedOn w:val="0"/>
    <w:pPr>
      <w:widowControl w:val="0"/>
      <w:autoSpaceDE w:val="0"/>
      <w:autoSpaceDN w:val="0"/>
      <w:spacing w:line="300" w:lineRule="auto"/>
      <w:ind w:firstLineChars="200" w:firstLine="200"/>
      <w:jc w:val="both"/>
    </w:pPr>
    <w:rPr>
      <w:rFonts w:ascii="宋体" w:eastAsia="宋体" w:cs="宋体" w:hAnsi="Times New Roman"/>
      <w:kern w:val="2"/>
      <w:sz w:val="18"/>
      <w:szCs w:val="18"/>
      <w:lang w:val="en-US"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65B87367-388C-454E-B5CA-67A4641B854A}">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0</TotalTime>
  <Application>Yozo_Office27021597764231179</Application>
  <Pages>5</Pages>
  <Words>0</Words>
  <Characters>1557</Characters>
  <Lines>0</Lines>
  <Paragraphs>87</Paragraphs>
  <CharactersWithSpaces>2076</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2025-03-04T07:20:35Z</dcterms:created>
  <dcterms:modified xsi:type="dcterms:W3CDTF">2025-03-06T06:33:45Z</dcterms:modified>
</cp:coreProperties>
</file>