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header1.xml" ContentType="application/vnd.openxmlformats-officedocument.wordprocessingml.head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tabs>
          <w:tab w:val="left" w:pos="180"/>
          <w:tab w:val="left" w:pos="360"/>
        </w:tabs>
        <w:autoSpaceDN w:val="0"/>
        <w:spacing w:before="240"/>
        <w:jc w:val="center"/>
        <w:rPr>
          <w:rFonts w:ascii="宋体" w:hint="eastAsia"/>
          <w:sz w:val="28"/>
          <w:szCs w:val="28"/>
        </w:rPr>
      </w:pPr>
      <w:r>
        <w:rPr>
          <w:rFonts w:ascii="宋体" w:hint="eastAsia"/>
          <w:sz w:val="44"/>
          <w:szCs w:val="44"/>
        </w:rPr>
        <mc:AlternateContent>
          <mc:Choice Requires="wps">
            <w:drawing>
              <wp:anchor distT="0" distB="0" distL="114298" distR="114298" simplePos="0" relativeHeight="12" behindDoc="0" locked="0" layoutInCell="1" hidden="0" allowOverlap="1">
                <wp:simplePos x="0" y="0"/>
                <wp:positionH relativeFrom="column">
                  <wp:posOffset>-193040</wp:posOffset>
                </wp:positionH>
                <wp:positionV relativeFrom="paragraph">
                  <wp:posOffset>542925</wp:posOffset>
                </wp:positionV>
                <wp:extent cx="5822314" cy="0"/>
                <wp:effectExtent l="-9524" t="-9524" r="-9524" b="-9524"/>
                <wp:wrapNone/>
                <wp:docPr id="1" name="直接连接符 1"/>
                <wp:cNvGraphicFramePr>
                  <a:graphicFrameLocks noChangeAspect="0"/>
                </wp:cNvGraphicFramePr>
                <a:graphic>
                  <a:graphicData uri="http://schemas.microsoft.com/office/word/2010/wordprocessingShape">
                    <wps:wsp>
                      <wps:cNvSpPr/>
                      <wps:spPr>
                        <a:xfrm rot="0">
                          <a:off x="0" y="0"/>
                          <a:ext cx="5822314" cy="0"/>
                        </a:xfrm>
                        <a:prstGeom prst="line"/>
                        <a:solidFill>
                          <a:srgbClr val="FFFFFF"/>
                        </a:solidFill>
                        <a:ln w="12700" cmpd="sng" cap="flat">
                          <a:solidFill>
                            <a:srgbClr val="800008"/>
                          </a:solidFill>
                          <a:prstDash val="solid"/>
                          <a:miter/>
                        </a:ln>
                      </wps:spPr>
                      <wps:bodyPr vert="horz" wrap="square" lIns="91440" tIns="45720" rIns="91440" bIns="45720" anchor="t" anchorCtr="0" upright="1">
                        <a:noAutofit/>
                      </wps:bodyPr>
                    </wps:wsp>
                  </a:graphicData>
                </a:graphic>
              </wp:anchor>
            </w:drawing>
          </mc:Choice>
          <mc:Fallback>
            <w:pict>
              <v:line type="#_x0000_t20" id="直接连接符 1 2" o:spid="_x0000_s2" from="-15.2pt,42.75pt" to="443.24997pt,42.75pt" fillcolor="#FFFFFF" stroked="t" strokeweight="1.0pt" style="position:absolute;z-index:12;mso-position-horizontal:absolute;mso-position-vertical:absolute;mso-wrap-distance-left:8.999863pt;mso-wrap-distance-right:8.999863pt;visibility:visible;">
                <v:stroke color="#800008"/>
              </v:line>
            </w:pict>
          </mc:Fallback>
        </mc:AlternateContent>
      </w:r>
      <w:r>
        <w:rPr>
          <w:rFonts w:ascii="黑体" w:eastAsia="黑体" w:hint="eastAsia"/>
          <w:spacing w:val="20"/>
          <w:w w:val="104"/>
          <w:sz w:val="36"/>
          <w:szCs w:val="36"/>
        </w:rPr>
        <w:t>2025年度秦皇岛市市场监督管理局产品质量监督抽查细则</w:t>
      </w:r>
    </w:p>
    <w:p>
      <w:pPr>
        <w:adjustRightInd w:val="0"/>
        <w:snapToGrid w:val="0"/>
        <w:spacing w:line="360" w:lineRule="auto"/>
        <w:jc w:val="center"/>
        <w:rPr>
          <w:rFonts w:ascii="宋体" w:hint="eastAsia"/>
          <w:sz w:val="44"/>
          <w:szCs w:val="44"/>
        </w:rPr>
      </w:pPr>
    </w:p>
    <w:p>
      <w:pPr>
        <w:jc w:val="center"/>
        <w:rPr>
          <w:rFonts w:hint="eastAsia"/>
          <w:b/>
          <w:sz w:val="52"/>
          <w:szCs w:val="52"/>
        </w:rPr>
      </w:pPr>
    </w:p>
    <w:p>
      <w:pPr>
        <w:jc w:val="center"/>
        <w:rPr>
          <w:rFonts w:hint="eastAsia"/>
          <w:b/>
          <w:sz w:val="52"/>
          <w:szCs w:val="52"/>
        </w:rPr>
      </w:pPr>
    </w:p>
    <w:p>
      <w:pPr>
        <w:jc w:val="center"/>
        <w:rPr>
          <w:b/>
          <w:sz w:val="52"/>
          <w:szCs w:val="52"/>
        </w:rPr>
      </w:pPr>
    </w:p>
    <w:p>
      <w:pPr>
        <w:jc w:val="center"/>
        <w:rPr>
          <w:b/>
          <w:sz w:val="52"/>
          <w:szCs w:val="52"/>
        </w:rPr>
      </w:pPr>
    </w:p>
    <w:p>
      <w:pPr>
        <w:jc w:val="center"/>
        <w:rPr>
          <w:rFonts w:hint="eastAsia"/>
          <w:b/>
          <w:sz w:val="52"/>
          <w:szCs w:val="52"/>
        </w:rPr>
      </w:pPr>
    </w:p>
    <w:p>
      <w:pPr>
        <w:jc w:val="center"/>
        <w:rPr>
          <w:rFonts w:ascii="宋体" w:hint="eastAsia"/>
          <w:sz w:val="44"/>
          <w:szCs w:val="44"/>
        </w:rPr>
      </w:pPr>
      <w:r>
        <w:rPr>
          <w:rFonts w:ascii="宋体" w:hint="eastAsia"/>
          <w:b/>
          <w:sz w:val="44"/>
          <w:szCs w:val="44"/>
        </w:rPr>
        <w:t>一般工业用铝及铝合金挤压型材</w:t>
      </w:r>
    </w:p>
    <w:p>
      <w:pPr>
        <w:jc w:val="center"/>
        <w:rPr>
          <w:rFonts w:ascii="宋体" w:hint="eastAsia"/>
          <w:sz w:val="44"/>
          <w:szCs w:val="44"/>
        </w:rPr>
      </w:pPr>
    </w:p>
    <w:p>
      <w:pPr>
        <w:jc w:val="center"/>
        <w:rPr>
          <w:rFonts w:hint="eastAsia"/>
          <w:b/>
          <w:sz w:val="52"/>
          <w:szCs w:val="52"/>
        </w:rPr>
      </w:pPr>
    </w:p>
    <w:p>
      <w:pPr>
        <w:jc w:val="center"/>
        <w:rPr>
          <w:rFonts w:hint="eastAsia"/>
          <w:b/>
          <w:sz w:val="52"/>
          <w:szCs w:val="52"/>
        </w:rPr>
      </w:pPr>
    </w:p>
    <w:p>
      <w:pPr>
        <w:jc w:val="center"/>
        <w:rPr>
          <w:rFonts w:hint="eastAsia"/>
          <w:b/>
          <w:sz w:val="52"/>
          <w:szCs w:val="52"/>
        </w:rPr>
      </w:pPr>
    </w:p>
    <w:p>
      <w:pPr>
        <w:jc w:val="center"/>
        <w:rPr>
          <w:rFonts w:hint="eastAsia"/>
          <w:b/>
          <w:sz w:val="52"/>
          <w:szCs w:val="52"/>
        </w:rPr>
      </w:pPr>
    </w:p>
    <w:p>
      <w:pPr>
        <w:rPr>
          <w:rFonts w:ascii="宋体" w:hint="eastAsia"/>
          <w:b/>
          <w:sz w:val="28"/>
          <w:szCs w:val="28"/>
        </w:rPr>
      </w:pPr>
    </w:p>
    <w:p>
      <w:pPr>
        <w:rPr>
          <w:rFonts w:ascii="宋体" w:hint="eastAsia"/>
          <w:b/>
          <w:sz w:val="28"/>
          <w:szCs w:val="28"/>
        </w:rPr>
      </w:pPr>
    </w:p>
    <w:p>
      <w:pPr>
        <w:rPr>
          <w:rFonts w:ascii="宋体" w:hint="eastAsia"/>
          <w:b/>
          <w:sz w:val="32"/>
          <w:szCs w:val="32"/>
        </w:rPr>
      </w:pPr>
    </w:p>
    <w:p>
      <w:pPr>
        <w:rPr>
          <w:rFonts w:ascii="宋体" w:hint="eastAsia"/>
          <w:b/>
          <w:sz w:val="32"/>
          <w:szCs w:val="32"/>
        </w:rPr>
      </w:pPr>
    </w:p>
    <w:p>
      <w:pPr>
        <w:rPr>
          <w:rFonts w:hint="eastAsia"/>
          <w:sz w:val="28"/>
          <w:szCs w:val="28"/>
          <w:u w:val="single"/>
        </w:rPr>
      </w:pPr>
      <w:r>
        <w:rPr>
          <w:rFonts w:hint="eastAsia"/>
          <w:sz w:val="28"/>
          <w:szCs w:val="28"/>
          <w:u w:val="single"/>
        </w:rPr>
        <w:t>202</w:t>
      </w:r>
      <w:r>
        <w:rPr>
          <w:sz w:val="28"/>
          <w:szCs w:val="28"/>
          <w:u w:val="single"/>
        </w:rPr>
        <w:t>5</w:t>
      </w:r>
      <w:r>
        <w:rPr>
          <w:rFonts w:hint="eastAsia"/>
          <w:sz w:val="28"/>
          <w:szCs w:val="28"/>
          <w:u w:val="single"/>
        </w:rPr>
        <w:t>—0</w:t>
      </w:r>
      <w:r>
        <w:rPr>
          <w:sz w:val="28"/>
          <w:szCs w:val="28"/>
          <w:u w:val="single"/>
        </w:rPr>
        <w:t>3</w:t>
      </w:r>
      <w:r>
        <w:rPr>
          <w:rFonts w:hint="eastAsia"/>
          <w:sz w:val="28"/>
          <w:szCs w:val="28"/>
          <w:u w:val="single"/>
        </w:rPr>
        <w:t>—</w:t>
      </w:r>
      <w:r>
        <w:rPr>
          <w:sz w:val="28"/>
          <w:szCs w:val="28"/>
          <w:u w:val="single"/>
        </w:rPr>
        <w:t>10</w:t>
      </w:r>
      <w:r>
        <w:rPr>
          <w:rFonts w:hint="eastAsia"/>
          <w:sz w:val="28"/>
          <w:szCs w:val="28"/>
          <w:u w:val="single"/>
        </w:rPr>
        <w:t>发布                       202</w:t>
      </w:r>
      <w:r>
        <w:rPr>
          <w:sz w:val="28"/>
          <w:szCs w:val="28"/>
          <w:u w:val="single"/>
        </w:rPr>
        <w:t>5</w:t>
      </w:r>
      <w:r>
        <w:rPr>
          <w:rFonts w:hint="eastAsia"/>
          <w:sz w:val="28"/>
          <w:szCs w:val="28"/>
          <w:u w:val="single"/>
        </w:rPr>
        <w:t>—0</w:t>
      </w:r>
      <w:r>
        <w:rPr>
          <w:sz w:val="28"/>
          <w:szCs w:val="28"/>
          <w:u w:val="single"/>
        </w:rPr>
        <w:t>3</w:t>
      </w:r>
      <w:r>
        <w:rPr>
          <w:rFonts w:hint="eastAsia"/>
          <w:sz w:val="28"/>
          <w:szCs w:val="28"/>
          <w:u w:val="single"/>
        </w:rPr>
        <w:t>—</w:t>
      </w:r>
      <w:r>
        <w:rPr>
          <w:sz w:val="28"/>
          <w:szCs w:val="28"/>
          <w:u w:val="single"/>
        </w:rPr>
        <w:t>10</w:t>
      </w:r>
      <w:r>
        <w:rPr>
          <w:rFonts w:hint="eastAsia"/>
          <w:sz w:val="28"/>
          <w:szCs w:val="28"/>
          <w:u w:val="single"/>
        </w:rPr>
        <w:t>实施</w:t>
      </w:r>
    </w:p>
    <w:p>
      <w:pPr>
        <w:jc w:val="center"/>
        <w:rPr>
          <w:rFonts w:ascii="黑体" w:eastAsia="黑体" w:hint="eastAsia"/>
          <w:w w:val="148"/>
          <w:sz w:val="36"/>
          <w:szCs w:val="36"/>
        </w:rPr>
      </w:pPr>
      <w:r>
        <w:rPr>
          <w:rFonts w:ascii="黑体" w:eastAsia="黑体" w:hint="eastAsia"/>
          <w:w w:val="148"/>
          <w:sz w:val="36"/>
          <w:szCs w:val="36"/>
        </w:rPr>
        <w:t>秦皇岛市市场监督管理局</w:t>
      </w:r>
      <w:bookmarkStart w:id="0" w:name="_GoBack"/>
      <w:bookmarkEnd w:id="0"/>
    </w:p>
    <w:p>
      <w:pPr>
        <w:snapToGrid w:val="0"/>
        <w:spacing w:line="300" w:lineRule="auto"/>
        <w:ind w:firstLineChars="200" w:firstLine="433"/>
        <w:rPr>
          <w:spacing w:val="-1"/>
          <w:w w:val="104"/>
        </w:rPr>
      </w:pPr>
    </w:p>
    <w:p>
      <w:pPr>
        <w:snapToGrid w:val="0"/>
        <w:spacing w:line="300" w:lineRule="auto"/>
        <w:ind w:firstLineChars="200" w:firstLine="433"/>
        <w:rPr>
          <w:spacing w:val="-1"/>
          <w:w w:val="104"/>
        </w:rPr>
      </w:pPr>
    </w:p>
    <w:p>
      <w:pPr>
        <w:pStyle w:val="1"/>
        <w:spacing w:afterLines="0" w:after="156"/>
        <w:ind w:firstLineChars="0" w:firstLine="0"/>
        <w:rPr>
          <w:rFonts w:hint="eastAsia"/>
          <w:lang w:eastAsia="zh-CN"/>
        </w:rPr>
      </w:pPr>
      <w:r>
        <w:rPr>
          <w:rFonts w:hint="eastAsia"/>
          <w:lang w:eastAsia="zh-CN"/>
        </w:rPr>
        <w:t>1 范围</w:t>
      </w:r>
    </w:p>
    <w:p>
      <w:pPr>
        <w:pStyle w:val="17"/>
        <w:rPr>
          <w:rFonts w:hint="eastAsia"/>
          <w:spacing w:val="5"/>
          <w:w w:val="110"/>
          <w:sz w:val="21"/>
          <w:szCs w:val="21"/>
          <w:lang w:eastAsia="zh-CN"/>
        </w:rPr>
      </w:pPr>
      <w:r>
        <w:rPr>
          <w:rFonts w:hint="eastAsia"/>
          <w:spacing w:val="5"/>
          <w:w w:val="110"/>
          <w:sz w:val="21"/>
          <w:szCs w:val="21"/>
          <w:lang w:eastAsia="zh-CN"/>
        </w:rPr>
        <w:t>本细则适用于</w:t>
      </w:r>
      <w:r>
        <w:rPr>
          <w:spacing w:val="5"/>
          <w:w w:val="110"/>
          <w:sz w:val="21"/>
          <w:szCs w:val="21"/>
          <w:lang w:eastAsia="zh-CN"/>
        </w:rPr>
        <w:t>一般工业用铝及铝合金挤压型材的</w:t>
      </w:r>
      <w:r>
        <w:rPr>
          <w:rFonts w:hint="eastAsia"/>
          <w:spacing w:val="5"/>
          <w:w w:val="110"/>
          <w:sz w:val="21"/>
          <w:szCs w:val="21"/>
          <w:lang w:eastAsia="zh-CN"/>
        </w:rPr>
        <w:t>产品质量监督抽查，针对特殊情况的市级监督专项抽查、县级以上地方质量技术监督部门组织的地方监督抽查可参照执行。监督抽查产品为</w:t>
      </w:r>
      <w:r>
        <w:rPr>
          <w:spacing w:val="5"/>
          <w:w w:val="110"/>
          <w:sz w:val="21"/>
          <w:szCs w:val="21"/>
          <w:lang w:eastAsia="zh-CN"/>
        </w:rPr>
        <w:t>一般工业用铝及铝合金挤压型材</w:t>
      </w:r>
      <w:r>
        <w:rPr>
          <w:rFonts w:hint="eastAsia"/>
          <w:spacing w:val="5"/>
          <w:w w:val="110"/>
          <w:sz w:val="21"/>
          <w:szCs w:val="21"/>
          <w:lang w:eastAsia="zh-CN"/>
        </w:rPr>
        <w:t>。本细则内容包括检验依据、抽样、检验要求、判定原则、异议处理及附则。</w:t>
      </w:r>
    </w:p>
    <w:p>
      <w:pPr>
        <w:pStyle w:val="1"/>
        <w:spacing w:afterLines="0" w:after="156"/>
        <w:ind w:firstLineChars="0" w:firstLine="0"/>
        <w:rPr>
          <w:rFonts w:hint="eastAsia"/>
          <w:lang w:eastAsia="zh-CN"/>
        </w:rPr>
      </w:pPr>
      <w:r>
        <w:rPr>
          <w:rFonts w:hint="eastAsia"/>
          <w:lang w:eastAsia="zh-CN"/>
        </w:rPr>
        <w:t>2 检验依据</w:t>
      </w:r>
    </w:p>
    <w:p>
      <w:pPr>
        <w:pStyle w:val="17"/>
        <w:rPr>
          <w:rFonts w:hint="eastAsia"/>
          <w:spacing w:val="5"/>
          <w:w w:val="110"/>
          <w:sz w:val="21"/>
          <w:szCs w:val="21"/>
          <w:lang w:eastAsia="zh-CN"/>
        </w:rPr>
      </w:pPr>
      <w:r>
        <w:rPr>
          <w:rFonts w:hint="eastAsia"/>
          <w:spacing w:val="5"/>
          <w:w w:val="110"/>
          <w:sz w:val="21"/>
          <w:szCs w:val="21"/>
          <w:lang w:eastAsia="zh-CN"/>
        </w:rPr>
        <w:t>凡是注日期的文件，其随后所有的修改单（不包括勘误的内容）或修订版不适用于本细则。凡是不注日期的文件，其最新版本适用于本细则。</w:t>
      </w:r>
    </w:p>
    <w:p>
      <w:pPr>
        <w:pStyle w:val="17"/>
        <w:rPr>
          <w:spacing w:val="5"/>
          <w:w w:val="110"/>
          <w:sz w:val="21"/>
          <w:szCs w:val="21"/>
          <w:lang w:eastAsia="zh-CN"/>
        </w:rPr>
      </w:pPr>
      <w:r>
        <w:rPr>
          <w:rFonts w:hint="eastAsia"/>
          <w:spacing w:val="5"/>
          <w:w w:val="110"/>
          <w:sz w:val="21"/>
          <w:szCs w:val="21"/>
          <w:lang w:eastAsia="zh-CN"/>
        </w:rPr>
        <w:t xml:space="preserve">GB/T </w:t>
      </w:r>
      <w:r>
        <w:rPr>
          <w:spacing w:val="5"/>
          <w:w w:val="110"/>
          <w:sz w:val="21"/>
          <w:szCs w:val="21"/>
          <w:lang w:eastAsia="zh-CN"/>
        </w:rPr>
        <w:t>6892 《一般工业用铝及铝合金挤压型材》</w:t>
      </w:r>
    </w:p>
    <w:p>
      <w:pPr>
        <w:pStyle w:val="16"/>
        <w:tabs>
          <w:tab w:val="center" w:pos="4153"/>
          <w:tab w:val="right" w:pos="8306"/>
        </w:tabs>
        <w:rPr>
          <w:rFonts w:ascii="宋体" w:hint="eastAsia"/>
          <w:spacing w:val="5"/>
          <w:w w:val="110"/>
          <w:sz w:val="21"/>
          <w:szCs w:val="21"/>
        </w:rPr>
      </w:pPr>
      <w:r>
        <w:t xml:space="preserve">     </w:t>
      </w:r>
      <w:r>
        <w:rPr>
          <w:rFonts w:ascii="宋体" w:hint="eastAsia"/>
          <w:spacing w:val="5"/>
          <w:w w:val="110"/>
          <w:sz w:val="21"/>
          <w:szCs w:val="21"/>
        </w:rPr>
        <w:t>GB/T 3190   《变形铝及铝合金化学成分》</w:t>
      </w:r>
    </w:p>
    <w:p>
      <w:pPr>
        <w:pStyle w:val="17"/>
        <w:ind w:leftChars="228" w:left="1925" w:hangingChars="600" w:hanging="1446"/>
        <w:rPr>
          <w:spacing w:val="5"/>
          <w:w w:val="110"/>
          <w:sz w:val="21"/>
          <w:szCs w:val="21"/>
          <w:lang w:eastAsia="zh-CN"/>
        </w:rPr>
      </w:pPr>
      <w:r>
        <w:rPr>
          <w:rFonts w:hint="eastAsia"/>
          <w:spacing w:val="5"/>
          <w:w w:val="110"/>
          <w:sz w:val="21"/>
          <w:szCs w:val="21"/>
          <w:lang w:eastAsia="zh-CN"/>
        </w:rPr>
        <w:t xml:space="preserve">GB/T </w:t>
      </w:r>
      <w:r>
        <w:rPr>
          <w:spacing w:val="5"/>
          <w:w w:val="110"/>
          <w:sz w:val="21"/>
          <w:szCs w:val="21"/>
          <w:lang w:eastAsia="zh-CN"/>
        </w:rPr>
        <w:t>7999</w:t>
      </w:r>
      <w:r>
        <w:rPr>
          <w:rFonts w:hint="eastAsia"/>
          <w:spacing w:val="5"/>
          <w:w w:val="110"/>
          <w:sz w:val="21"/>
          <w:szCs w:val="21"/>
          <w:lang w:eastAsia="zh-CN"/>
        </w:rPr>
        <w:t xml:space="preserve"> </w:t>
      </w:r>
      <w:r>
        <w:rPr>
          <w:spacing w:val="5"/>
          <w:w w:val="110"/>
          <w:sz w:val="21"/>
          <w:szCs w:val="21"/>
          <w:lang w:eastAsia="zh-CN"/>
        </w:rPr>
        <w:t xml:space="preserve"> 《铝及铝合金光电直读发射光谱分析方法》</w:t>
      </w:r>
    </w:p>
    <w:p>
      <w:pPr>
        <w:pStyle w:val="16"/>
        <w:tabs>
          <w:tab w:val="center" w:pos="4153"/>
          <w:tab w:val="right" w:pos="8306"/>
        </w:tabs>
        <w:rPr>
          <w:rFonts w:ascii="宋体" w:hint="eastAsia"/>
          <w:spacing w:val="5"/>
          <w:w w:val="110"/>
          <w:sz w:val="21"/>
          <w:szCs w:val="21"/>
        </w:rPr>
      </w:pPr>
      <w:r>
        <w:t xml:space="preserve">    </w:t>
      </w:r>
      <w:r>
        <w:rPr>
          <w:rFonts w:ascii="宋体" w:cs="宋体" w:hint="eastAsia"/>
          <w:sz w:val="21"/>
          <w:szCs w:val="21"/>
          <w:lang w:bidi="ar-SA"/>
        </w:rPr>
        <w:t xml:space="preserve"> </w:t>
      </w:r>
      <w:r>
        <w:rPr>
          <w:rFonts w:ascii="宋体" w:hint="eastAsia"/>
          <w:spacing w:val="5"/>
          <w:w w:val="110"/>
          <w:sz w:val="21"/>
          <w:szCs w:val="21"/>
        </w:rPr>
        <w:t>GB/T 16865 《变形铝、镁及其合金加工制品拉伸试验用试样及方法》</w:t>
      </w:r>
    </w:p>
    <w:p>
      <w:pPr>
        <w:pStyle w:val="17"/>
        <w:rPr>
          <w:rFonts w:hint="eastAsia"/>
          <w:spacing w:val="5"/>
          <w:w w:val="110"/>
          <w:sz w:val="21"/>
          <w:szCs w:val="21"/>
          <w:lang w:eastAsia="zh-CN"/>
        </w:rPr>
      </w:pPr>
      <w:r>
        <w:rPr>
          <w:rFonts w:hint="eastAsia"/>
          <w:spacing w:val="5"/>
          <w:w w:val="110"/>
          <w:sz w:val="21"/>
          <w:szCs w:val="21"/>
          <w:lang w:eastAsia="zh-CN"/>
        </w:rPr>
        <w:t>相关的法律法规、部门规章和细则。</w:t>
      </w:r>
    </w:p>
    <w:p>
      <w:pPr>
        <w:pStyle w:val="17"/>
        <w:rPr>
          <w:rFonts w:hint="eastAsia"/>
          <w:spacing w:val="5"/>
          <w:w w:val="110"/>
          <w:sz w:val="21"/>
          <w:szCs w:val="21"/>
          <w:lang w:eastAsia="zh-CN"/>
        </w:rPr>
      </w:pPr>
      <w:r>
        <w:rPr>
          <w:rFonts w:hint="eastAsia"/>
          <w:spacing w:val="5"/>
          <w:w w:val="110"/>
          <w:sz w:val="21"/>
          <w:szCs w:val="21"/>
          <w:lang w:eastAsia="zh-CN"/>
        </w:rPr>
        <w:t>经备案现行有效的企业标准及产品明示质量要求</w:t>
      </w:r>
    </w:p>
    <w:p>
      <w:pPr>
        <w:pStyle w:val="1"/>
        <w:spacing w:afterLines="0" w:after="156"/>
        <w:ind w:firstLineChars="0" w:firstLine="0"/>
        <w:rPr>
          <w:rFonts w:hint="eastAsia"/>
          <w:lang w:eastAsia="zh-CN"/>
        </w:rPr>
      </w:pPr>
      <w:r>
        <w:rPr>
          <w:rFonts w:hint="eastAsia"/>
          <w:lang w:eastAsia="zh-CN"/>
        </w:rPr>
        <w:t>3 抽样</w:t>
      </w:r>
    </w:p>
    <w:p>
      <w:pPr>
        <w:pStyle w:val="2"/>
        <w:ind w:firstLineChars="0" w:firstLine="0"/>
        <w:rPr>
          <w:rFonts w:hint="eastAsia"/>
          <w:w w:val="110"/>
          <w:szCs w:val="24"/>
          <w:lang w:eastAsia="zh-CN"/>
        </w:rPr>
      </w:pPr>
      <w:r>
        <w:rPr>
          <w:rFonts w:hint="eastAsia"/>
          <w:w w:val="110"/>
          <w:szCs w:val="24"/>
          <w:lang w:eastAsia="zh-CN"/>
        </w:rPr>
        <w:t>3.1 抽样产品</w:t>
      </w:r>
    </w:p>
    <w:p>
      <w:pPr>
        <w:pStyle w:val="17"/>
        <w:rPr>
          <w:rFonts w:hint="eastAsia"/>
          <w:spacing w:val="5"/>
          <w:w w:val="110"/>
          <w:sz w:val="21"/>
          <w:szCs w:val="21"/>
          <w:lang w:eastAsia="zh-CN"/>
        </w:rPr>
      </w:pPr>
      <w:r>
        <w:rPr>
          <w:rFonts w:hint="eastAsia"/>
          <w:spacing w:val="5"/>
          <w:w w:val="110"/>
          <w:sz w:val="21"/>
          <w:szCs w:val="21"/>
          <w:lang w:eastAsia="zh-CN"/>
        </w:rPr>
        <w:t>抽取产品应为同一炉批号的产品，有多种产品时，优先抽取主导牌号的产品。</w:t>
      </w:r>
    </w:p>
    <w:p>
      <w:pPr>
        <w:pStyle w:val="2"/>
        <w:ind w:firstLineChars="0" w:firstLine="0"/>
        <w:rPr>
          <w:rFonts w:hint="eastAsia"/>
          <w:w w:val="110"/>
          <w:szCs w:val="24"/>
          <w:lang w:eastAsia="zh-CN"/>
        </w:rPr>
      </w:pPr>
      <w:r>
        <w:rPr>
          <w:rFonts w:hint="eastAsia"/>
          <w:w w:val="110"/>
          <w:szCs w:val="24"/>
          <w:lang w:eastAsia="zh-CN"/>
        </w:rPr>
        <w:t>3.2 抽样方法、基数及数量</w:t>
      </w:r>
    </w:p>
    <w:p>
      <w:pPr>
        <w:pStyle w:val="17"/>
        <w:rPr>
          <w:rFonts w:hint="eastAsia"/>
          <w:spacing w:val="5"/>
          <w:w w:val="110"/>
          <w:sz w:val="21"/>
          <w:szCs w:val="21"/>
          <w:lang w:eastAsia="zh-CN"/>
        </w:rPr>
      </w:pPr>
      <w:r>
        <w:rPr>
          <w:rFonts w:hint="eastAsia"/>
          <w:spacing w:val="5"/>
          <w:w w:val="110"/>
          <w:sz w:val="21"/>
          <w:szCs w:val="21"/>
          <w:lang w:eastAsia="zh-CN"/>
        </w:rPr>
        <w:t>随机抽取经被抽查企业检验合格或以任何方式表明合格的产品。</w:t>
      </w:r>
    </w:p>
    <w:p>
      <w:pPr>
        <w:pStyle w:val="17"/>
        <w:rPr>
          <w:rFonts w:hint="eastAsia"/>
          <w:spacing w:val="5"/>
          <w:w w:val="110"/>
          <w:sz w:val="21"/>
          <w:szCs w:val="21"/>
          <w:lang w:eastAsia="zh-CN"/>
        </w:rPr>
      </w:pPr>
      <w:r>
        <w:rPr>
          <w:rFonts w:hint="eastAsia"/>
          <w:spacing w:val="5"/>
          <w:w w:val="110"/>
          <w:sz w:val="21"/>
          <w:szCs w:val="21"/>
          <w:lang w:eastAsia="zh-CN"/>
        </w:rPr>
        <w:t>随机抽取同一炉批号钢坯一块，在该块钢坯上截取2块长度为</w:t>
      </w:r>
      <w:r>
        <w:rPr>
          <w:spacing w:val="5"/>
          <w:w w:val="110"/>
          <w:sz w:val="21"/>
          <w:szCs w:val="21"/>
          <w:lang w:eastAsia="zh-CN"/>
        </w:rPr>
        <w:t>5</w:t>
      </w:r>
      <w:r>
        <w:rPr>
          <w:rFonts w:hint="eastAsia"/>
          <w:spacing w:val="5"/>
          <w:w w:val="110"/>
          <w:sz w:val="21"/>
          <w:szCs w:val="21"/>
          <w:lang w:eastAsia="zh-CN"/>
        </w:rPr>
        <w:t>00mm的样品，2块样品均应编号标记，并一一对应(如1-a，1-b)。标记a的样品为检验样品，标记b的样品为备用样品。</w:t>
      </w:r>
    </w:p>
    <w:p>
      <w:pPr>
        <w:pStyle w:val="2"/>
        <w:ind w:firstLineChars="0" w:firstLine="0"/>
        <w:rPr>
          <w:rFonts w:hint="eastAsia"/>
          <w:w w:val="110"/>
          <w:szCs w:val="24"/>
          <w:lang w:eastAsia="zh-CN"/>
        </w:rPr>
      </w:pPr>
      <w:r>
        <w:rPr>
          <w:rFonts w:hint="eastAsia"/>
          <w:w w:val="110"/>
          <w:szCs w:val="24"/>
          <w:lang w:eastAsia="zh-CN"/>
        </w:rPr>
        <w:t>3.3 样品处置</w:t>
      </w:r>
    </w:p>
    <w:p>
      <w:pPr>
        <w:pStyle w:val="17"/>
        <w:rPr>
          <w:rFonts w:hint="eastAsia"/>
          <w:spacing w:val="-1"/>
          <w:w w:val="104"/>
          <w:szCs w:val="24"/>
          <w:lang w:eastAsia="zh-CN"/>
        </w:rPr>
      </w:pPr>
      <w:r>
        <w:rPr>
          <w:rFonts w:hint="eastAsia"/>
          <w:spacing w:val="5"/>
          <w:w w:val="110"/>
          <w:sz w:val="21"/>
          <w:szCs w:val="21"/>
          <w:lang w:eastAsia="zh-CN"/>
        </w:rPr>
        <w:t>样品由抽样单位送到检验机构，备用样品由检验机构存放。样品到达后，由检验机构接收样品人员目视查验包裹是否有破损、封条是否完好等，并留存样品接收记录、影像资料等。</w:t>
      </w:r>
    </w:p>
    <w:p>
      <w:pPr>
        <w:pStyle w:val="2"/>
        <w:ind w:firstLineChars="0" w:firstLine="0"/>
        <w:rPr>
          <w:rFonts w:hint="eastAsia"/>
          <w:w w:val="110"/>
          <w:szCs w:val="24"/>
          <w:lang w:eastAsia="zh-CN"/>
        </w:rPr>
      </w:pPr>
      <w:r>
        <w:rPr>
          <w:rFonts w:hint="eastAsia"/>
          <w:w w:val="110"/>
          <w:szCs w:val="24"/>
          <w:lang w:eastAsia="zh-CN"/>
        </w:rPr>
        <w:t>3.4 抽样单</w:t>
      </w:r>
    </w:p>
    <w:p>
      <w:pPr>
        <w:pStyle w:val="17"/>
        <w:rPr>
          <w:rFonts w:hint="eastAsia"/>
          <w:spacing w:val="5"/>
          <w:w w:val="110"/>
          <w:sz w:val="21"/>
          <w:szCs w:val="21"/>
          <w:lang w:eastAsia="zh-CN"/>
        </w:rPr>
      </w:pPr>
      <w:r>
        <w:rPr>
          <w:rFonts w:hint="eastAsia"/>
          <w:spacing w:val="5"/>
          <w:w w:val="110"/>
          <w:sz w:val="21"/>
          <w:szCs w:val="21"/>
          <w:lang w:eastAsia="zh-CN"/>
        </w:rPr>
        <w:t>应按有关规定填写抽样单、并记录被抽查产品及企业相关信息。</w:t>
      </w:r>
    </w:p>
    <w:p>
      <w:pPr>
        <w:pStyle w:val="1"/>
        <w:spacing w:afterLines="0" w:after="156"/>
        <w:ind w:firstLineChars="0" w:firstLine="0"/>
        <w:rPr>
          <w:rFonts w:hint="eastAsia"/>
          <w:lang w:eastAsia="zh-CN"/>
        </w:rPr>
      </w:pPr>
      <w:r>
        <w:rPr>
          <w:rFonts w:hint="eastAsia"/>
          <w:lang w:eastAsia="zh-CN"/>
        </w:rPr>
        <w:t>4 检验要求</w:t>
      </w:r>
    </w:p>
    <w:p>
      <w:pPr>
        <w:pStyle w:val="2"/>
        <w:ind w:firstLineChars="0" w:firstLine="0"/>
        <w:rPr>
          <w:rFonts w:hint="eastAsia"/>
          <w:w w:val="110"/>
          <w:szCs w:val="24"/>
          <w:lang w:eastAsia="zh-CN"/>
        </w:rPr>
      </w:pPr>
      <w:r>
        <w:rPr>
          <w:rFonts w:hint="eastAsia"/>
          <w:w w:val="110"/>
          <w:szCs w:val="24"/>
          <w:lang w:eastAsia="zh-CN"/>
        </w:rPr>
        <w:t>4.1 检验项目及重要程度分类</w:t>
      </w:r>
    </w:p>
    <w:p>
      <w:pPr>
        <w:pStyle w:val="17"/>
        <w:rPr>
          <w:rFonts w:hint="eastAsia"/>
          <w:spacing w:val="5"/>
          <w:w w:val="110"/>
          <w:sz w:val="21"/>
          <w:szCs w:val="21"/>
          <w:lang w:eastAsia="zh-CN"/>
        </w:rPr>
      </w:pPr>
      <w:r>
        <w:rPr>
          <w:rFonts w:hint="eastAsia"/>
          <w:spacing w:val="5"/>
          <w:w w:val="110"/>
          <w:sz w:val="21"/>
          <w:szCs w:val="21"/>
          <w:lang w:eastAsia="zh-CN"/>
        </w:rPr>
        <w:t>检验项目及重要程度分类见表1。</w:t>
      </w:r>
    </w:p>
    <w:p>
      <w:pPr>
        <w:jc w:val="center"/>
        <w:rPr>
          <w:rFonts w:hint="eastAsia"/>
          <w:b/>
          <w:spacing w:val="30"/>
          <w:sz w:val="21"/>
          <w:szCs w:val="21"/>
          <w:lang w:eastAsia="zh-CN"/>
        </w:rPr>
      </w:pPr>
    </w:p>
    <w:p>
      <w:pPr>
        <w:jc w:val="center"/>
        <w:rPr>
          <w:rFonts w:hint="eastAsia"/>
          <w:b/>
          <w:spacing w:val="-1"/>
          <w:w w:val="104"/>
          <w:sz w:val="21"/>
          <w:szCs w:val="21"/>
          <w:lang w:eastAsia="zh-CN"/>
        </w:rPr>
      </w:pPr>
      <w:r>
        <w:rPr>
          <w:rFonts w:hint="eastAsia"/>
          <w:b/>
          <w:spacing w:val="30"/>
          <w:sz w:val="21"/>
          <w:szCs w:val="21"/>
          <w:lang w:eastAsia="zh-CN"/>
        </w:rPr>
        <w:t>表1 检验项目及重要程度分类</w:t>
      </w:r>
    </w:p>
    <w:tbl>
      <w:tblPr>
        <w:jc w:val="center"/>
        <w:tblW w:w="7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72"/>
        <w:gridCol w:w="1106"/>
        <w:gridCol w:w="2206"/>
        <w:gridCol w:w="1945"/>
        <w:gridCol w:w="1934"/>
      </w:tblGrid>
      <w:tr>
        <w:trPr>
          <w:trHeight w:val="946"/>
          <w:tblHeader/>
        </w:trPr>
        <w:tc>
          <w:tcPr>
            <w:tcW w:w="472" w:type="dxa"/>
            <w:tcBorders>
              <w:bottom w:val="single" w:sz="4" w:space="0" w:color="auto"/>
              <w:tl2br w:val="nil"/>
              <w:tr2bl w:val="nil"/>
            </w:tcBorders>
            <w:vAlign w:val="center"/>
          </w:tcPr>
          <w:p>
            <w:pPr>
              <w:autoSpaceDE/>
              <w:autoSpaceDN/>
              <w:adjustRightInd w:val="0"/>
              <w:spacing w:line="240" w:lineRule="auto"/>
              <w:ind w:firstLine="0"/>
              <w:jc w:val="center"/>
              <w:rPr>
                <w:rFonts w:ascii="仿宋_GB2312" w:eastAsia="仿宋_GB2312" w:cs="Times New Roman" w:hint="eastAsia"/>
                <w:b/>
                <w:kern w:val="2"/>
                <w:sz w:val="21"/>
                <w:szCs w:val="21"/>
                <w:lang w:eastAsia="zh-CN" w:bidi="ar-SA"/>
              </w:rPr>
            </w:pPr>
            <w:r>
              <w:rPr>
                <w:rFonts w:ascii="仿宋_GB2312" w:eastAsia="仿宋_GB2312" w:cs="仿宋_GB2312" w:hint="eastAsia"/>
                <w:b/>
                <w:kern w:val="2"/>
                <w:sz w:val="21"/>
                <w:szCs w:val="21"/>
                <w:lang w:eastAsia="zh-CN" w:bidi="ar-SA"/>
              </w:rPr>
              <w:t>序号</w:t>
            </w:r>
          </w:p>
        </w:tc>
        <w:tc>
          <w:tcPr>
            <w:tcW w:w="3312" w:type="dxa"/>
            <w:gridSpan w:val="2"/>
            <w:tcBorders>
              <w:bottom w:val="single" w:sz="4" w:space="0" w:color="auto"/>
              <w:tl2br w:val="nil"/>
              <w:tr2bl w:val="nil"/>
            </w:tcBorders>
            <w:vAlign w:val="center"/>
          </w:tcPr>
          <w:p>
            <w:pPr>
              <w:autoSpaceDE/>
              <w:autoSpaceDN/>
              <w:adjustRightInd w:val="0"/>
              <w:spacing w:line="240" w:lineRule="auto"/>
              <w:ind w:firstLine="0"/>
              <w:jc w:val="center"/>
              <w:rPr>
                <w:rFonts w:ascii="仿宋_GB2312" w:eastAsia="仿宋_GB2312" w:cs="Times New Roman" w:hint="eastAsia"/>
                <w:b/>
                <w:kern w:val="2"/>
                <w:sz w:val="21"/>
                <w:szCs w:val="21"/>
                <w:lang w:eastAsia="zh-CN" w:bidi="ar-SA"/>
              </w:rPr>
            </w:pPr>
            <w:r>
              <w:rPr>
                <w:rFonts w:ascii="仿宋_GB2312" w:eastAsia="仿宋_GB2312" w:cs="仿宋_GB2312" w:hint="eastAsia"/>
                <w:b/>
                <w:kern w:val="2"/>
                <w:sz w:val="21"/>
                <w:szCs w:val="21"/>
                <w:lang w:eastAsia="zh-CN" w:bidi="ar-SA"/>
              </w:rPr>
              <w:t>检验项目</w:t>
            </w:r>
          </w:p>
        </w:tc>
        <w:tc>
          <w:tcPr>
            <w:tcW w:w="1945" w:type="dxa"/>
            <w:tcBorders>
              <w:bottom w:val="single" w:sz="4" w:space="0" w:color="auto"/>
              <w:tl2br w:val="nil"/>
              <w:tr2bl w:val="nil"/>
            </w:tcBorders>
            <w:vAlign w:val="center"/>
          </w:tcPr>
          <w:p>
            <w:pPr>
              <w:autoSpaceDE/>
              <w:autoSpaceDN/>
              <w:adjustRightInd w:val="0"/>
              <w:spacing w:line="240" w:lineRule="auto"/>
              <w:ind w:firstLine="0"/>
              <w:jc w:val="center"/>
              <w:rPr>
                <w:rFonts w:ascii="仿宋_GB2312" w:eastAsia="仿宋_GB2312" w:cs="仿宋_GB2312" w:hint="eastAsia"/>
                <w:b/>
                <w:kern w:val="2"/>
                <w:sz w:val="21"/>
                <w:szCs w:val="21"/>
                <w:lang w:eastAsia="zh-CN" w:bidi="ar-SA"/>
              </w:rPr>
            </w:pPr>
            <w:r>
              <w:rPr>
                <w:rFonts w:ascii="仿宋_GB2312" w:eastAsia="仿宋_GB2312" w:cs="仿宋_GB2312" w:hint="eastAsia"/>
                <w:b/>
                <w:kern w:val="2"/>
                <w:sz w:val="21"/>
                <w:szCs w:val="21"/>
                <w:lang w:eastAsia="zh-CN" w:bidi="ar-SA"/>
              </w:rPr>
              <w:t>依据标准</w:t>
            </w:r>
          </w:p>
        </w:tc>
        <w:tc>
          <w:tcPr>
            <w:tcW w:w="1934" w:type="dxa"/>
            <w:tcBorders>
              <w:bottom w:val="single" w:sz="4" w:space="0" w:color="auto"/>
              <w:tl2br w:val="nil"/>
              <w:tr2bl w:val="nil"/>
            </w:tcBorders>
            <w:vAlign w:val="center"/>
          </w:tcPr>
          <w:p>
            <w:pPr>
              <w:autoSpaceDE/>
              <w:autoSpaceDN/>
              <w:adjustRightInd w:val="0"/>
              <w:spacing w:line="240" w:lineRule="auto"/>
              <w:ind w:firstLine="0"/>
              <w:jc w:val="center"/>
              <w:rPr>
                <w:rFonts w:ascii="仿宋_GB2312" w:eastAsia="仿宋_GB2312" w:cs="仿宋_GB2312" w:hint="eastAsia"/>
                <w:b/>
                <w:kern w:val="2"/>
                <w:sz w:val="21"/>
                <w:szCs w:val="21"/>
                <w:lang w:eastAsia="zh-CN" w:bidi="ar-SA"/>
              </w:rPr>
            </w:pPr>
            <w:r>
              <w:rPr>
                <w:rFonts w:ascii="仿宋_GB2312" w:eastAsia="仿宋_GB2312" w:cs="仿宋_GB2312" w:hint="eastAsia"/>
                <w:b/>
                <w:kern w:val="2"/>
                <w:sz w:val="21"/>
                <w:szCs w:val="21"/>
                <w:lang w:eastAsia="zh-CN" w:bidi="ar-SA"/>
              </w:rPr>
              <w:t>检测方法</w:t>
            </w:r>
          </w:p>
        </w:tc>
      </w:tr>
      <w:tr>
        <w:trPr>
          <w:trHeight w:val="302"/>
        </w:trPr>
        <w:tc>
          <w:tcPr>
            <w:tcW w:w="472" w:type="dxa"/>
            <w:vMerge w:val="restart"/>
            <w:tcBorders>
              <w:tl2br w:val="nil"/>
              <w:tr2bl w:val="nil"/>
            </w:tcBorders>
            <w:vAlign w:val="center"/>
          </w:tcPr>
          <w:p>
            <w:pPr>
              <w:autoSpaceDE/>
              <w:autoSpaceDN/>
              <w:adjustRightInd w:val="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1</w:t>
            </w:r>
          </w:p>
        </w:tc>
        <w:tc>
          <w:tcPr>
            <w:tcW w:w="1106" w:type="dxa"/>
            <w:vMerge w:val="restart"/>
            <w:tcBorders>
              <w:tl2br w:val="nil"/>
              <w:tr2bl w:val="nil"/>
            </w:tcBorders>
            <w:vAlign w:val="center"/>
          </w:tcPr>
          <w:p>
            <w:pPr>
              <w:autoSpaceDE/>
              <w:autoSpaceDN/>
              <w:adjustRightInd w:val="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力学性能</w:t>
            </w:r>
          </w:p>
        </w:tc>
        <w:tc>
          <w:tcPr>
            <w:tcW w:w="2206" w:type="dxa"/>
            <w:tcBorders>
              <w:tl2br w:val="nil"/>
              <w:tr2bl w:val="nil"/>
            </w:tcBorders>
            <w:vAlign w:val="center"/>
          </w:tcPr>
          <w:p>
            <w:pPr>
              <w:autoSpaceDE/>
              <w:autoSpaceDN/>
              <w:adjustRightInd w:val="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抗拉强度R</w:t>
            </w:r>
            <w:r>
              <w:rPr>
                <w:rFonts w:ascii="仿宋_GB2312" w:eastAsia="仿宋_GB2312" w:cs="仿宋_GB2312" w:hint="eastAsia"/>
                <w:kern w:val="2"/>
                <w:sz w:val="21"/>
                <w:szCs w:val="21"/>
                <w:vertAlign w:val="subscript"/>
                <w:lang w:eastAsia="zh-CN" w:bidi="ar-SA"/>
              </w:rPr>
              <w:t>m</w:t>
            </w:r>
          </w:p>
        </w:tc>
        <w:tc>
          <w:tcPr>
            <w:tcW w:w="1945" w:type="dxa"/>
            <w:vMerge w:val="restart"/>
            <w:tcBorders>
              <w:tl2br w:val="nil"/>
              <w:tr2bl w:val="nil"/>
            </w:tcBorders>
            <w:vAlign w:val="center"/>
          </w:tcPr>
          <w:p>
            <w:pPr>
              <w:autoSpaceDE/>
              <w:autoSpaceDN/>
              <w:adjustRightInd w:val="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GB/T 6892</w:t>
            </w:r>
          </w:p>
        </w:tc>
        <w:tc>
          <w:tcPr>
            <w:tcW w:w="1934" w:type="dxa"/>
            <w:vMerge w:val="restart"/>
            <w:tcBorders>
              <w:tl2br w:val="nil"/>
              <w:tr2bl w:val="nil"/>
            </w:tcBorders>
            <w:vAlign w:val="center"/>
          </w:tcPr>
          <w:p>
            <w:pPr>
              <w:autoSpaceDE/>
              <w:autoSpaceDN/>
              <w:adjustRightInd w:val="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GB/T 16865</w:t>
            </w:r>
          </w:p>
        </w:tc>
      </w:tr>
      <w:tr>
        <w:trPr>
          <w:trHeight w:val="614"/>
        </w:trP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utoSpaceDE/>
              <w:autoSpaceDN/>
              <w:adjustRightInd w:val="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规定非比例延伸强度R</w:t>
            </w:r>
            <w:r>
              <w:rPr>
                <w:rFonts w:ascii="仿宋_GB2312" w:eastAsia="仿宋_GB2312" w:cs="仿宋_GB2312" w:hint="eastAsia"/>
                <w:kern w:val="2"/>
                <w:sz w:val="21"/>
                <w:szCs w:val="21"/>
                <w:vertAlign w:val="subscript"/>
                <w:lang w:eastAsia="zh-CN" w:bidi="ar-SA"/>
              </w:rPr>
              <w:t>p0.2</w:t>
            </w:r>
          </w:p>
        </w:tc>
        <w:tc>
          <w:tcPr>
            <w:tcW w:w="1945" w:type="dxa"/>
            <w:vMerge/>
            <w:tcBorders>
              <w:tl2br w:val="nil"/>
              <w:tr2bl w:val="nil"/>
            </w:tcBorders>
            <w:vAlign w:val="center"/>
          </w:tcPr>
          <w:p/>
        </w:tc>
        <w:tc>
          <w:tcPr>
            <w:tcW w:w="1934" w:type="dxa"/>
            <w:vMerge/>
            <w:tcBorders>
              <w:tl2br w:val="nil"/>
              <w:tr2bl w:val="nil"/>
            </w:tcBorders>
            <w:vAlign w:val="center"/>
          </w:tcPr>
          <w:p/>
        </w:tc>
      </w:tr>
      <w:tr>
        <w:trPr>
          <w:trHeight w:val="302"/>
        </w:trP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utoSpaceDE/>
              <w:autoSpaceDN/>
              <w:adjustRightInd w:val="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断后伸长率</w:t>
            </w:r>
          </w:p>
        </w:tc>
        <w:tc>
          <w:tcPr>
            <w:tcW w:w="1945" w:type="dxa"/>
            <w:vMerge/>
            <w:tcBorders>
              <w:tl2br w:val="nil"/>
              <w:tr2bl w:val="nil"/>
            </w:tcBorders>
            <w:vAlign w:val="center"/>
          </w:tcPr>
          <w:p/>
        </w:tc>
        <w:tc>
          <w:tcPr>
            <w:tcW w:w="1934" w:type="dxa"/>
            <w:vMerge/>
            <w:tcBorders>
              <w:tl2br w:val="nil"/>
              <w:tr2bl w:val="nil"/>
            </w:tcBorders>
            <w:vAlign w:val="center"/>
          </w:tcPr>
          <w:p/>
        </w:tc>
      </w:tr>
      <w:tr>
        <w:trPr>
          <w:trHeight w:val="302"/>
        </w:trPr>
        <w:tc>
          <w:tcPr>
            <w:tcW w:w="472" w:type="dxa"/>
            <w:vMerge w:val="restart"/>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2</w:t>
            </w:r>
          </w:p>
        </w:tc>
        <w:tc>
          <w:tcPr>
            <w:tcW w:w="1106" w:type="dxa"/>
            <w:vMerge w:val="restart"/>
            <w:tcBorders>
              <w:tl2br w:val="nil"/>
              <w:tr2bl w:val="nil"/>
            </w:tcBorders>
            <w:vAlign w:val="center"/>
          </w:tcPr>
          <w:p>
            <w:pPr>
              <w:autoSpaceDE/>
              <w:autoSpaceDN/>
              <w:adjustRightInd w:val="0"/>
              <w:spacing w:line="240" w:lineRule="auto"/>
              <w:ind w:firstLine="0"/>
              <w:jc w:val="center"/>
              <w:rPr>
                <w:rFonts w:ascii="仿宋_GB2312" w:eastAsia="仿宋_GB2312" w:cs="Times New Roman" w:hint="eastAsia"/>
                <w:kern w:val="2"/>
                <w:sz w:val="21"/>
                <w:szCs w:val="21"/>
                <w:lang w:eastAsia="zh-CN" w:bidi="ar-SA"/>
              </w:rPr>
            </w:pPr>
            <w:r>
              <w:rPr>
                <w:rFonts w:ascii="仿宋_GB2312" w:eastAsia="仿宋_GB2312" w:cs="仿宋_GB2312" w:hint="eastAsia"/>
                <w:kern w:val="2"/>
                <w:sz w:val="21"/>
                <w:szCs w:val="21"/>
                <w:lang w:eastAsia="zh-CN" w:bidi="ar-SA"/>
              </w:rPr>
              <w:t>化学成分</w:t>
            </w:r>
          </w:p>
        </w:tc>
        <w:tc>
          <w:tcPr>
            <w:tcW w:w="2206"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Si</w:t>
            </w:r>
          </w:p>
        </w:tc>
        <w:tc>
          <w:tcPr>
            <w:tcW w:w="1945" w:type="dxa"/>
            <w:vMerge w:val="restart"/>
            <w:tcBorders>
              <w:tl2br w:val="nil"/>
              <w:tr2bl w:val="nil"/>
            </w:tcBorders>
            <w:vAlign w:val="center"/>
          </w:tcPr>
          <w:p>
            <w:pPr>
              <w:autoSpaceDE/>
              <w:autoSpaceDN/>
              <w:adjustRightInd w:val="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GB/T 6892、GB/T 3190</w:t>
            </w:r>
          </w:p>
        </w:tc>
        <w:tc>
          <w:tcPr>
            <w:tcW w:w="1934" w:type="dxa"/>
            <w:vMerge w:val="restart"/>
            <w:tcBorders>
              <w:tl2br w:val="nil"/>
              <w:tr2bl w:val="nil"/>
            </w:tcBorders>
            <w:vAlign w:val="center"/>
          </w:tcPr>
          <w:p>
            <w:pPr>
              <w:autoSpaceDE/>
              <w:autoSpaceDN/>
              <w:adjustRightInd w:val="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GB/T 7999</w:t>
            </w:r>
          </w:p>
        </w:tc>
      </w:tr>
      <w:tr>
        <w:trPr>
          <w:trHeight w:val="302"/>
        </w:trP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Fe</w:t>
            </w:r>
          </w:p>
        </w:tc>
        <w:tc>
          <w:tcPr>
            <w:tcW w:w="1945" w:type="dxa"/>
            <w:vMerge/>
            <w:tcBorders>
              <w:tl2br w:val="nil"/>
              <w:tr2bl w:val="nil"/>
            </w:tcBorders>
            <w:vAlign w:val="center"/>
          </w:tcPr>
          <w:p/>
        </w:tc>
        <w:tc>
          <w:tcPr>
            <w:tcW w:w="1934" w:type="dxa"/>
            <w:vMerge/>
            <w:tcBorders>
              <w:tl2br w:val="nil"/>
              <w:tr2bl w:val="nil"/>
            </w:tcBorders>
            <w:vAlign w:val="center"/>
          </w:tcPr>
          <w:p/>
        </w:tc>
      </w:tr>
      <w:tr>
        <w:trPr>
          <w:trHeight w:val="302"/>
        </w:trP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Cu</w:t>
            </w:r>
          </w:p>
        </w:tc>
        <w:tc>
          <w:tcPr>
            <w:tcW w:w="1945" w:type="dxa"/>
            <w:vMerge/>
            <w:tcBorders>
              <w:tl2br w:val="nil"/>
              <w:tr2bl w:val="nil"/>
            </w:tcBorders>
            <w:vAlign w:val="center"/>
          </w:tcPr>
          <w:p/>
        </w:tc>
        <w:tc>
          <w:tcPr>
            <w:tcW w:w="1934" w:type="dxa"/>
            <w:vMerge/>
            <w:tcBorders>
              <w:tl2br w:val="nil"/>
              <w:tr2bl w:val="nil"/>
            </w:tcBorders>
            <w:vAlign w:val="center"/>
          </w:tcPr>
          <w:p/>
        </w:tc>
      </w:tr>
      <w:tr>
        <w:trPr>
          <w:trHeight w:val="302"/>
        </w:trP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Mn</w:t>
            </w:r>
          </w:p>
        </w:tc>
        <w:tc>
          <w:tcPr>
            <w:tcW w:w="1945" w:type="dxa"/>
            <w:vMerge/>
            <w:tcBorders>
              <w:tl2br w:val="nil"/>
              <w:tr2bl w:val="nil"/>
            </w:tcBorders>
            <w:vAlign w:val="center"/>
          </w:tcPr>
          <w:p/>
        </w:tc>
        <w:tc>
          <w:tcPr>
            <w:tcW w:w="1934" w:type="dxa"/>
            <w:vMerge/>
            <w:tcBorders>
              <w:tl2br w:val="nil"/>
              <w:tr2bl w:val="nil"/>
            </w:tcBorders>
            <w:vAlign w:val="center"/>
          </w:tcPr>
          <w:p/>
        </w:tc>
      </w:tr>
      <w:tr>
        <w:trPr>
          <w:trHeight w:val="302"/>
        </w:trP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Mg</w:t>
            </w:r>
          </w:p>
        </w:tc>
        <w:tc>
          <w:tcPr>
            <w:tcW w:w="1945" w:type="dxa"/>
            <w:vMerge/>
            <w:tcBorders>
              <w:tl2br w:val="nil"/>
              <w:tr2bl w:val="nil"/>
            </w:tcBorders>
            <w:vAlign w:val="center"/>
          </w:tcPr>
          <w:p/>
        </w:tc>
        <w:tc>
          <w:tcPr>
            <w:tcW w:w="1934" w:type="dxa"/>
            <w:vMerge/>
            <w:tcBorders>
              <w:tl2br w:val="nil"/>
              <w:tr2bl w:val="nil"/>
            </w:tcBorders>
            <w:vAlign w:val="center"/>
          </w:tcPr>
          <w:p/>
        </w:tc>
      </w:tr>
      <w:tr>
        <w:trPr>
          <w:trHeight w:val="302"/>
        </w:trP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Cr</w:t>
            </w:r>
          </w:p>
        </w:tc>
        <w:tc>
          <w:tcPr>
            <w:tcW w:w="1945" w:type="dxa"/>
            <w:vMerge/>
            <w:tcBorders>
              <w:tl2br w:val="nil"/>
              <w:tr2bl w:val="nil"/>
            </w:tcBorders>
            <w:vAlign w:val="center"/>
          </w:tcPr>
          <w:p/>
        </w:tc>
        <w:tc>
          <w:tcPr>
            <w:tcW w:w="1934" w:type="dxa"/>
            <w:vMerge/>
            <w:tcBorders>
              <w:tl2br w:val="nil"/>
              <w:tr2bl w:val="nil"/>
            </w:tcBorders>
            <w:vAlign w:val="center"/>
          </w:tcPr>
          <w:p/>
        </w:tc>
      </w:tr>
      <w:tr>
        <w:trPr>
          <w:trHeight w:val="302"/>
        </w:trP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Zn</w:t>
            </w:r>
          </w:p>
        </w:tc>
        <w:tc>
          <w:tcPr>
            <w:tcW w:w="1945" w:type="dxa"/>
            <w:vMerge/>
            <w:tcBorders>
              <w:tl2br w:val="nil"/>
              <w:tr2bl w:val="nil"/>
            </w:tcBorders>
            <w:vAlign w:val="center"/>
          </w:tcPr>
          <w:p/>
        </w:tc>
        <w:tc>
          <w:tcPr>
            <w:tcW w:w="1934" w:type="dxa"/>
            <w:vMerge/>
            <w:tcBorders>
              <w:tl2br w:val="nil"/>
              <w:tr2bl w:val="nil"/>
            </w:tcBorders>
            <w:vAlign w:val="center"/>
          </w:tcPr>
          <w:p/>
        </w:tc>
      </w:tr>
      <w:tr>
        <w:trPr>
          <w:trHeight w:val="302"/>
        </w:trP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V</w:t>
            </w:r>
          </w:p>
        </w:tc>
        <w:tc>
          <w:tcPr>
            <w:tcW w:w="1945" w:type="dxa"/>
            <w:vMerge/>
            <w:tcBorders>
              <w:tl2br w:val="nil"/>
              <w:tr2bl w:val="nil"/>
            </w:tcBorders>
            <w:vAlign w:val="center"/>
          </w:tcPr>
          <w:p/>
        </w:tc>
        <w:tc>
          <w:tcPr>
            <w:tcW w:w="1934" w:type="dxa"/>
            <w:vMerge/>
            <w:tcBorders>
              <w:tl2br w:val="nil"/>
              <w:tr2bl w:val="nil"/>
            </w:tcBorders>
            <w:vAlign w:val="center"/>
          </w:tcPr>
          <w:p/>
        </w:tc>
      </w:tr>
      <w:tr>
        <w:trPr>
          <w:trHeight w:val="302"/>
        </w:trPr>
        <w:tc>
          <w:tcPr>
            <w:tcW w:w="472" w:type="dxa"/>
            <w:vMerge/>
            <w:tcBorders>
              <w:tl2br w:val="nil"/>
              <w:tr2bl w:val="nil"/>
            </w:tcBorders>
            <w:vAlign w:val="center"/>
          </w:tcPr>
          <w:p/>
        </w:tc>
        <w:tc>
          <w:tcPr>
            <w:tcW w:w="1106" w:type="dxa"/>
            <w:vMerge/>
            <w:tcBorders>
              <w:tl2br w:val="nil"/>
              <w:tr2bl w:val="nil"/>
            </w:tcBorders>
            <w:vAlign w:val="center"/>
          </w:tcPr>
          <w:p/>
        </w:tc>
        <w:tc>
          <w:tcPr>
            <w:tcW w:w="2206" w:type="dxa"/>
            <w:tcBorders>
              <w:tl2br w:val="nil"/>
              <w:tr2bl w:val="nil"/>
            </w:tcBorders>
            <w:vAlign w:val="center"/>
          </w:tcPr>
          <w:p>
            <w:pPr>
              <w:autoSpaceDE/>
              <w:autoSpaceDN/>
              <w:adjustRightInd w:val="0"/>
              <w:spacing w:line="240" w:lineRule="auto"/>
              <w:ind w:firstLine="0"/>
              <w:jc w:val="center"/>
              <w:rPr>
                <w:rFonts w:ascii="仿宋_GB2312" w:eastAsia="仿宋_GB2312" w:cs="仿宋_GB2312" w:hint="eastAsia"/>
                <w:kern w:val="2"/>
                <w:sz w:val="21"/>
                <w:szCs w:val="21"/>
                <w:lang w:eastAsia="zh-CN" w:bidi="ar-SA"/>
              </w:rPr>
            </w:pPr>
            <w:r>
              <w:rPr>
                <w:rFonts w:ascii="仿宋_GB2312" w:eastAsia="仿宋_GB2312" w:cs="仿宋_GB2312" w:hint="eastAsia"/>
                <w:kern w:val="2"/>
                <w:sz w:val="21"/>
                <w:szCs w:val="21"/>
                <w:lang w:eastAsia="zh-CN" w:bidi="ar-SA"/>
              </w:rPr>
              <w:t>Ti</w:t>
            </w:r>
          </w:p>
        </w:tc>
        <w:tc>
          <w:tcPr>
            <w:tcW w:w="1945" w:type="dxa"/>
            <w:vMerge/>
            <w:tcBorders>
              <w:tl2br w:val="nil"/>
              <w:tr2bl w:val="nil"/>
            </w:tcBorders>
            <w:vAlign w:val="center"/>
          </w:tcPr>
          <w:p/>
        </w:tc>
        <w:tc>
          <w:tcPr>
            <w:tcW w:w="1934" w:type="dxa"/>
            <w:vMerge/>
            <w:tcBorders>
              <w:tl2br w:val="nil"/>
              <w:tr2bl w:val="nil"/>
            </w:tcBorders>
            <w:vAlign w:val="center"/>
          </w:tcPr>
          <w:p/>
        </w:tc>
      </w:tr>
    </w:tbl>
    <w:p>
      <w:pPr>
        <w:pStyle w:val="1"/>
        <w:spacing w:afterLines="0" w:after="156"/>
        <w:ind w:firstLineChars="0" w:firstLine="0"/>
        <w:rPr>
          <w:rFonts w:hint="eastAsia"/>
          <w:lang w:eastAsia="zh-CN"/>
        </w:rPr>
      </w:pPr>
      <w:r>
        <w:rPr>
          <w:rFonts w:hint="eastAsia"/>
          <w:lang w:eastAsia="zh-CN"/>
        </w:rPr>
        <w:t>5 判定原则</w:t>
      </w:r>
    </w:p>
    <w:p>
      <w:pPr>
        <w:pStyle w:val="17"/>
        <w:rPr>
          <w:spacing w:val="5"/>
          <w:w w:val="110"/>
          <w:sz w:val="21"/>
          <w:szCs w:val="21"/>
          <w:lang w:eastAsia="zh-CN"/>
        </w:rPr>
      </w:pPr>
      <w:r>
        <w:rPr>
          <w:spacing w:val="5"/>
          <w:w w:val="110"/>
          <w:sz w:val="21"/>
          <w:szCs w:val="21"/>
          <w:lang w:eastAsia="zh-CN"/>
        </w:rPr>
        <w:t>力学性能：</w:t>
      </w:r>
      <w:r>
        <w:rPr>
          <w:rFonts w:hint="eastAsia"/>
          <w:spacing w:val="5"/>
          <w:w w:val="110"/>
          <w:sz w:val="21"/>
          <w:szCs w:val="21"/>
          <w:lang w:eastAsia="zh-CN"/>
        </w:rPr>
        <w:t>每批检验样本量n=</w:t>
      </w:r>
      <w:r>
        <w:rPr>
          <w:spacing w:val="5"/>
          <w:w w:val="110"/>
          <w:sz w:val="21"/>
          <w:szCs w:val="21"/>
          <w:lang w:eastAsia="zh-CN"/>
        </w:rPr>
        <w:t>2；抗拉强度、</w:t>
      </w:r>
      <w:r>
        <w:rPr>
          <w:rFonts w:ascii="仿宋_GB2312" w:eastAsia="仿宋_GB2312" w:cs="仿宋_GB2312" w:hint="eastAsia"/>
          <w:kern w:val="2"/>
          <w:sz w:val="21"/>
          <w:szCs w:val="21"/>
          <w:lang w:eastAsia="zh-CN" w:bidi="ar-SA"/>
        </w:rPr>
        <w:t>规定非比例延伸强度R</w:t>
      </w:r>
      <w:r>
        <w:rPr>
          <w:rFonts w:ascii="仿宋_GB2312" w:eastAsia="仿宋_GB2312" w:cs="仿宋_GB2312" w:hint="eastAsia"/>
          <w:kern w:val="2"/>
          <w:sz w:val="21"/>
          <w:szCs w:val="21"/>
          <w:vertAlign w:val="subscript"/>
          <w:lang w:eastAsia="zh-CN" w:bidi="ar-SA"/>
        </w:rPr>
        <w:t>p0.2</w:t>
      </w:r>
      <w:r>
        <w:rPr>
          <w:rFonts w:ascii="仿宋_GB2312" w:eastAsia="仿宋_GB2312" w:cs="仿宋_GB2312" w:hint="eastAsia"/>
          <w:kern w:val="2"/>
          <w:sz w:val="21"/>
          <w:szCs w:val="21"/>
          <w:lang w:eastAsia="zh-CN" w:bidi="ar-SA"/>
        </w:rPr>
        <w:t>、</w:t>
      </w:r>
      <w:r>
        <w:rPr>
          <w:spacing w:val="5"/>
          <w:w w:val="110"/>
          <w:sz w:val="21"/>
          <w:szCs w:val="21"/>
          <w:lang w:eastAsia="zh-CN"/>
        </w:rPr>
        <w:t>断后伸长率任一指标不合格，判定被抽查产品不合格。</w:t>
      </w:r>
    </w:p>
    <w:p>
      <w:pPr>
        <w:pStyle w:val="17"/>
        <w:rPr>
          <w:rFonts w:hint="eastAsia"/>
          <w:spacing w:val="5"/>
          <w:w w:val="110"/>
          <w:sz w:val="21"/>
          <w:szCs w:val="21"/>
          <w:lang w:eastAsia="zh-CN"/>
        </w:rPr>
      </w:pPr>
      <w:r>
        <w:rPr>
          <w:spacing w:val="5"/>
          <w:w w:val="110"/>
          <w:sz w:val="21"/>
          <w:szCs w:val="21"/>
          <w:lang w:eastAsia="zh-CN"/>
        </w:rPr>
        <w:t>化学成分：</w:t>
      </w:r>
      <w:r>
        <w:rPr>
          <w:rFonts w:hint="eastAsia"/>
          <w:spacing w:val="5"/>
          <w:w w:val="110"/>
          <w:sz w:val="21"/>
          <w:szCs w:val="21"/>
          <w:lang w:eastAsia="zh-CN"/>
        </w:rPr>
        <w:t>每批检验样本量n=1；检验样品的</w:t>
      </w:r>
      <w:r>
        <w:rPr>
          <w:spacing w:val="5"/>
          <w:w w:val="110"/>
          <w:sz w:val="21"/>
          <w:szCs w:val="21"/>
          <w:lang w:eastAsia="zh-CN"/>
        </w:rPr>
        <w:t>Si、Fe、Cu、Mn、Mg、Cr、Zn、V、Ti</w:t>
      </w:r>
      <w:r>
        <w:rPr>
          <w:rFonts w:hint="eastAsia"/>
          <w:spacing w:val="5"/>
          <w:w w:val="110"/>
          <w:sz w:val="21"/>
          <w:szCs w:val="21"/>
          <w:lang w:eastAsia="zh-CN"/>
        </w:rPr>
        <w:t>指标。若有任一指标不合格，判定被抽查产品不合格，当所有指标合格时，判定被抽查产品合格。</w:t>
      </w:r>
    </w:p>
    <w:p>
      <w:pPr>
        <w:pStyle w:val="1"/>
        <w:spacing w:afterLines="0" w:after="156"/>
        <w:ind w:firstLineChars="0" w:firstLine="0"/>
        <w:rPr>
          <w:rFonts w:hint="eastAsia"/>
          <w:lang w:eastAsia="zh-CN"/>
        </w:rPr>
      </w:pPr>
      <w:r>
        <w:rPr>
          <w:rFonts w:hint="eastAsia"/>
          <w:lang w:eastAsia="zh-CN"/>
        </w:rPr>
        <w:t>6 异议复检处理</w:t>
      </w:r>
    </w:p>
    <w:p>
      <w:pPr>
        <w:pStyle w:val="17"/>
        <w:rPr>
          <w:rFonts w:hint="eastAsia"/>
          <w:spacing w:val="5"/>
          <w:w w:val="110"/>
          <w:sz w:val="21"/>
          <w:szCs w:val="21"/>
          <w:lang w:eastAsia="zh-CN"/>
        </w:rPr>
      </w:pPr>
      <w:r>
        <w:rPr>
          <w:rFonts w:hint="eastAsia"/>
          <w:spacing w:val="5"/>
          <w:w w:val="110"/>
          <w:sz w:val="21"/>
          <w:szCs w:val="21"/>
          <w:lang w:eastAsia="zh-CN"/>
        </w:rPr>
        <w:t>1.核查不合格项目相关证据，能够以记录（纸质记录或电子记录或影像记录）或与不合格项目相关联的其它质量数据等检验证据证明并得到企业认可，可以不复检。需要复检时，化学成分项目在原样上进行复检。</w:t>
      </w:r>
    </w:p>
    <w:p>
      <w:pPr>
        <w:pStyle w:val="17"/>
        <w:rPr>
          <w:rFonts w:hint="eastAsia"/>
          <w:spacing w:val="5"/>
          <w:w w:val="110"/>
          <w:sz w:val="21"/>
          <w:szCs w:val="21"/>
          <w:lang w:eastAsia="zh-CN"/>
        </w:rPr>
      </w:pPr>
      <w:r>
        <w:rPr>
          <w:rFonts w:hint="eastAsia"/>
          <w:spacing w:val="5"/>
          <w:w w:val="110"/>
          <w:sz w:val="21"/>
          <w:szCs w:val="21"/>
          <w:lang w:eastAsia="zh-CN"/>
        </w:rPr>
        <w:t>2.处理企业异议的质量技术监督部门认为仍由原承检机构承担复检工作的，则应通知原承检机构按原监督抽查方案对留存的样品或抽取的备用样品组织复检，并出具检验报告。启用复检前，应由相关方（异议申诉方、原承检机构等）做好样品的确认工作，特殊情况相关方可书面申请放弃现场确认并认可结果。复检结论为最终结论。</w:t>
      </w:r>
    </w:p>
    <w:p>
      <w:pPr>
        <w:pStyle w:val="17"/>
        <w:rPr>
          <w:rFonts w:hint="eastAsia"/>
          <w:spacing w:val="5"/>
          <w:w w:val="110"/>
          <w:sz w:val="21"/>
          <w:szCs w:val="21"/>
          <w:lang w:eastAsia="zh-CN"/>
        </w:rPr>
      </w:pPr>
      <w:r>
        <w:rPr>
          <w:rFonts w:hint="eastAsia"/>
          <w:spacing w:val="5"/>
          <w:w w:val="110"/>
          <w:sz w:val="21"/>
          <w:szCs w:val="21"/>
          <w:lang w:eastAsia="zh-CN"/>
        </w:rPr>
        <w:t>3.处理企业异议的质量技术监督部门认为需变更承检机构承担复检工作的，原则上应由承担本次检验任务的其他机构承担，必要时可由招投标入库的承检机构承担复检工作。应通知承担复检工作的承检机构按原监督抽查方案对留存的样品或抽取的备用样品进行复检，并出具检验报告。启用复检前，应由相关方（异议申诉方、原承检机构、承担复检任务的机构等）做好样品的移交和确认工作，特殊情况相关方可书面申请放弃现场确认并认可结果。复检结论为最终结论。</w:t>
      </w:r>
    </w:p>
    <w:p>
      <w:pPr>
        <w:pStyle w:val="1"/>
        <w:spacing w:afterLines="0" w:after="156"/>
        <w:ind w:firstLineChars="0" w:firstLine="0"/>
        <w:rPr>
          <w:rFonts w:hint="eastAsia"/>
          <w:lang w:eastAsia="zh-CN"/>
        </w:rPr>
      </w:pPr>
      <w:r>
        <w:rPr>
          <w:rFonts w:hint="eastAsia"/>
          <w:lang w:eastAsia="zh-CN"/>
        </w:rPr>
        <w:t>7 附则</w:t>
      </w:r>
    </w:p>
    <w:p>
      <w:pPr>
        <w:pStyle w:val="17"/>
        <w:rPr>
          <w:rFonts w:hint="eastAsia"/>
          <w:spacing w:val="5"/>
          <w:w w:val="110"/>
          <w:sz w:val="21"/>
          <w:szCs w:val="21"/>
          <w:lang w:eastAsia="zh-CN"/>
        </w:rPr>
      </w:pPr>
      <w:r>
        <w:rPr>
          <w:rFonts w:hint="eastAsia"/>
          <w:spacing w:val="5"/>
          <w:w w:val="110"/>
          <w:sz w:val="21"/>
          <w:szCs w:val="21"/>
          <w:lang w:eastAsia="zh-CN"/>
        </w:rPr>
        <w:t>本细则编写单位：秦皇岛市质量技术监督检验所。</w:t>
      </w:r>
    </w:p>
    <w:p>
      <w:pPr>
        <w:snapToGrid w:val="0"/>
        <w:spacing w:line="300" w:lineRule="auto"/>
        <w:ind w:left="0" w:firstLineChars="200" w:firstLine="462"/>
        <w:rPr>
          <w:rFonts w:ascii="宋体" w:cs="宋体" w:hint="eastAsia"/>
          <w:w w:val="110"/>
          <w:szCs w:val="21"/>
          <w:lang w:bidi="ar-SA"/>
        </w:rPr>
      </w:pPr>
      <w:r>
        <w:rPr>
          <w:rFonts w:ascii="宋体" w:cs="宋体" w:hint="eastAsia"/>
          <w:w w:val="110"/>
          <w:szCs w:val="21"/>
          <w:lang w:bidi="ar-SA"/>
        </w:rPr>
        <w:t>本细则由秦皇岛市市场监督管理局产品质量安全监督管理科管理。</w:t>
      </w:r>
    </w:p>
    <w:p>
      <w:pPr>
        <w:snapToGrid w:val="0"/>
        <w:spacing w:line="300" w:lineRule="auto"/>
        <w:ind w:firstLineChars="200" w:firstLine="433"/>
        <w:rPr>
          <w:rFonts w:hint="eastAsia"/>
          <w:spacing w:val="-1"/>
          <w:w w:val="104"/>
        </w:rPr>
      </w:pPr>
    </w:p>
    <w:p>
      <w:pPr>
        <w:snapToGrid w:val="0"/>
        <w:spacing w:line="300" w:lineRule="auto"/>
        <w:ind w:firstLineChars="200" w:firstLine="433"/>
        <w:rPr>
          <w:spacing w:val="-1"/>
          <w:w w:val="104"/>
        </w:rPr>
      </w:pPr>
    </w:p>
    <w:p>
      <w:pPr>
        <w:snapToGrid w:val="0"/>
        <w:spacing w:line="300" w:lineRule="auto"/>
        <w:ind w:firstLineChars="200" w:firstLine="433"/>
        <w:rPr>
          <w:spacing w:val="-1"/>
          <w:w w:val="104"/>
        </w:rPr>
      </w:pPr>
    </w:p>
    <w:p>
      <w:pPr>
        <w:snapToGrid w:val="0"/>
        <w:spacing w:line="300" w:lineRule="auto"/>
        <w:ind w:firstLineChars="200" w:firstLine="433"/>
        <w:rPr>
          <w:spacing w:val="-1"/>
          <w:w w:val="104"/>
        </w:rPr>
      </w:pPr>
    </w:p>
    <w:p>
      <w:pPr>
        <w:snapToGrid w:val="0"/>
        <w:spacing w:line="300" w:lineRule="auto"/>
        <w:ind w:firstLineChars="200" w:firstLine="433"/>
        <w:rPr>
          <w:spacing w:val="-1"/>
          <w:w w:val="104"/>
        </w:rPr>
      </w:pPr>
    </w:p>
    <w:p>
      <w:pPr>
        <w:snapToGrid w:val="0"/>
        <w:spacing w:line="300" w:lineRule="auto"/>
        <w:ind w:firstLineChars="200" w:firstLine="433"/>
        <w:rPr>
          <w:spacing w:val="-1"/>
          <w:w w:val="104"/>
        </w:rPr>
      </w:pPr>
    </w:p>
    <w:p>
      <w:pPr>
        <w:snapToGrid w:val="0"/>
        <w:spacing w:line="300" w:lineRule="auto"/>
        <w:ind w:firstLineChars="200" w:firstLine="433"/>
        <w:rPr>
          <w:spacing w:val="-1"/>
          <w:w w:val="104"/>
        </w:rPr>
      </w:pPr>
    </w:p>
    <w:p>
      <w:pPr>
        <w:snapToGrid w:val="0"/>
        <w:spacing w:line="300" w:lineRule="auto"/>
        <w:ind w:firstLineChars="200" w:firstLine="433"/>
        <w:rPr>
          <w:spacing w:val="-1"/>
          <w:w w:val="104"/>
        </w:rPr>
      </w:pPr>
    </w:p>
    <w:p>
      <w:pPr>
        <w:snapToGrid w:val="0"/>
        <w:spacing w:line="300" w:lineRule="auto"/>
        <w:ind w:firstLineChars="200" w:firstLine="433"/>
        <w:rPr>
          <w:rFonts w:hint="eastAsia"/>
          <w:spacing w:val="-1"/>
          <w:w w:val="104"/>
        </w:rPr>
      </w:pPr>
    </w:p>
    <w:p/>
    <w:sectPr>
      <w:headerReference w:type="default" r:id="rId2"/>
      <w:pgSz w:w="11906" w:h="16838"/>
      <w:pgMar w:top="1440" w:right="1800" w:bottom="1440" w:left="1800" w:header="851" w:footer="992" w:gutter="0"/>
      <w:pgNumType/>
      <w:docGrid w:type="lines" w:linePitch="312" w:charSpace="0"/>
    </w:sectPr>
  </w:body>
</w:document>
</file>

<file path=word/fontTable.xml><?xml version="1.0" encoding="utf-8"?>
<w:fonts xmlns:w="http://schemas.openxmlformats.org/wordprocessingml/2006/main" xmlns:r="http://schemas.openxmlformats.org/officeDocument/2006/relationships">
  <w:font w:name="宋体">
    <w:panose1 w:val="02010600030101010101"/>
    <w:charset w:val="86"/>
    <w:family w:val="auto"/>
    <w:pitch w:val="variable"/>
    <w:sig w:usb0="00000003" w:usb1="080E0000" w:usb2="00000000" w:usb3="00000000" w:csb0="00040001" w:csb1="00000000"/>
  </w:font>
  <w:font w:name="黑体">
    <w:panose1 w:val="02010609060101010101"/>
    <w:charset w:val="86"/>
    <w:family w:val="auto"/>
    <w:pitch w:val="variable"/>
    <w:sig w:usb0="800002BF" w:usb1="38CF7CFA" w:usb2="00000016" w:usb3="00000000" w:csb0="00040001" w:csb1="00000000"/>
  </w:font>
  <w:font w:name="仿宋_GB2312">
    <w:panose1 w:val="02010609030101010101"/>
    <w:charset w:val="86"/>
    <w:family w:val="auto"/>
    <w:pitch w:val="variable"/>
    <w:sig w:usb0="00000001" w:usb1="080E0000" w:usb2="00000000" w:usb3="00000000" w:csb0="00040000" w:csb1="00000000"/>
  </w:font>
  <w:font w:name="Times New Roman">
    <w:panose1 w:val="02020603050405020304"/>
    <w:charset w:val="00"/>
    <w:family w:val="auto"/>
    <w:pitch w:val="variable"/>
    <w:sig w:usb0="00000A87" w:usb1="00000000" w:usb2="00000000" w:usb3="00000000" w:csb0="400001BF" w:csb1="DFF70000"/>
  </w:font>
  <w:font w:name="Arial">
    <w:panose1 w:val="020B0604020202020204"/>
    <w:charset w:val="00"/>
    <w:family w:val="auto"/>
    <w:pitch w:val="variable"/>
    <w:sig w:usb0="00007A87" w:usb1="80000000" w:usb2="00000008" w:usb3="00000000" w:csb0="400001FF" w:csb1="FFFF0000"/>
  </w:font>
</w:fonts>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15"/>
      <w:pBdr>
        <w:bottom w:val="none" w:sz="0" w:space="0" w:color="auto"/>
      </w:pBdr>
      <w:tabs>
        <w:tab w:val="center" w:pos="4153"/>
        <w:tab w:val="right" w:pos="8306"/>
      </w:tabs>
    </w:pPr>
  </w:p>
</w:hdr>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val="bestFit" w:percent="126"/>
  <w:displayBackgroundShape/>
  <w:bordersDoNotSurroundHeader/>
  <w:bordersDoNotSurroundFooter/>
  <w:defaultTabStop w:val="420"/>
  <w:drawingGridHorizontalSpacing w:val="105"/>
  <w:drawingGridVerticalSpacing w:val="156"/>
  <w:displayHorizontalDrawingGridEvery w:val="0"/>
  <w:displayVerticalDrawingGridEvery w:val="1"/>
  <w:characterSpacingControl w:val="compressPunctuation"/>
  <w:compat>
    <w:balanceSingleByteDoubleByteWidth/>
    <w:ulTrailSpace/>
    <w:doNotExpandShiftReturn/>
    <w:adjustLineHeightInTable/>
    <w:compatSetting w:name="compatibilityMode" w:uri="http://schemas.microsoft.com/office/word" w:val="15"/>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Arial"/>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szCs w:val="24"/>
      <w:lang w:val="en-US" w:eastAsia="zh-CN" w:bidi="ar-SA"/>
    </w:rPr>
  </w:style>
  <w:style w:type="paragraph" w:styleId="1">
    <w:name w:val="heading 1"/>
    <w:basedOn w:val="0"/>
    <w:next w:val="0"/>
    <w:pPr>
      <w:keepNext/>
      <w:keepLines/>
      <w:widowControl w:val="0"/>
      <w:autoSpaceDE w:val="0"/>
      <w:autoSpaceDN w:val="0"/>
      <w:spacing w:afterLines="50" w:after="50" w:line="300" w:lineRule="auto"/>
      <w:ind w:firstLineChars="200" w:firstLine="200"/>
      <w:jc w:val="both"/>
      <w:outlineLvl w:val="0"/>
    </w:pPr>
    <w:rPr>
      <w:rFonts w:ascii="宋体" w:eastAsia="宋体" w:cs="宋体" w:hAnsi="Times New Roman"/>
      <w:b/>
      <w:bCs/>
      <w:kern w:val="44"/>
      <w:sz w:val="28"/>
      <w:szCs w:val="44"/>
      <w:lang w:val="en-US" w:bidi="ar-SA"/>
    </w:rPr>
  </w:style>
  <w:style w:type="paragraph" w:styleId="2">
    <w:name w:val="heading 2"/>
    <w:basedOn w:val="0"/>
    <w:next w:val="0"/>
    <w:pPr>
      <w:keepNext/>
      <w:keepLines/>
      <w:widowControl w:val="0"/>
      <w:autoSpaceDE w:val="0"/>
      <w:autoSpaceDN w:val="0"/>
      <w:spacing w:line="300" w:lineRule="auto"/>
      <w:ind w:firstLineChars="200" w:firstLine="200"/>
      <w:jc w:val="both"/>
      <w:outlineLvl w:val="1"/>
    </w:pPr>
    <w:rPr>
      <w:rFonts w:ascii="Arial" w:eastAsia="宋体" w:cs="Times New Roman" w:hAnsi="Arial"/>
      <w:b/>
      <w:bCs/>
      <w:kern w:val="2"/>
      <w:sz w:val="24"/>
      <w:szCs w:val="32"/>
      <w:lang w:val="en-US" w:bidi="ar-SA"/>
    </w:rPr>
  </w:style>
  <w:style w:type="paragraph" w:styleId="3">
    <w:name w:val="heading 3"/>
    <w:basedOn w:val="0"/>
    <w:next w:val="0"/>
    <w:pPr>
      <w:keepNext/>
      <w:keepLines/>
      <w:widowControl w:val="0"/>
      <w:spacing w:before="260" w:after="260" w:line="415" w:lineRule="auto"/>
      <w:outlineLvl w:val="2"/>
    </w:pPr>
    <w:rPr>
      <w:b/>
      <w:bCs/>
      <w:sz w:val="32"/>
      <w:szCs w:val="32"/>
    </w:rPr>
  </w:style>
  <w:style w:type="character" w:default="1" w:styleId="10">
    <w:name w:val="Default Paragraph Font"/>
  </w:style>
  <w:style w:type="paragraph" w:styleId="15">
    <w:name w:val="header"/>
    <w:basedOn w:val="0"/>
    <w:pPr>
      <w:widowControl w:val="0"/>
      <w:pBdr>
        <w:bottom w:val="single" w:sz="6" w:space="1" w:color="auto"/>
      </w:pBdr>
      <w:tabs>
        <w:tab w:val="center" w:pos="4153"/>
        <w:tab w:val="right" w:pos="8306"/>
      </w:tabs>
      <w:snapToGrid w:val="0"/>
      <w:jc w:val="center"/>
    </w:pPr>
    <w:rPr>
      <w:rFonts w:ascii="Times New Roman" w:eastAsia="宋体" w:cs="Times New Roman" w:hAnsi="Times New Roman"/>
      <w:kern w:val="2"/>
      <w:sz w:val="18"/>
      <w:szCs w:val="18"/>
      <w:bdr w:val="none" w:sz="0" w:space="0" w:color="auto"/>
      <w:lang w:val="en-US" w:eastAsia="zh-CN" w:bidi="ar-SA"/>
    </w:rPr>
  </w:style>
  <w:style w:type="paragraph" w:styleId="16">
    <w:name w:val="footer"/>
    <w:basedOn w:val="0"/>
    <w:pPr>
      <w:widowControl w:val="0"/>
      <w:tabs>
        <w:tab w:val="center" w:pos="4153"/>
        <w:tab w:val="right" w:pos="8306"/>
      </w:tabs>
      <w:snapToGrid w:val="0"/>
      <w:jc w:val="left"/>
    </w:pPr>
    <w:rPr>
      <w:rFonts w:ascii="Times New Roman" w:eastAsia="宋体" w:cs="Times New Roman" w:hAnsi="Times New Roman"/>
      <w:kern w:val="2"/>
      <w:sz w:val="18"/>
      <w:szCs w:val="18"/>
      <w:lang w:val="en-US" w:eastAsia="zh-CN" w:bidi="ar-SA"/>
    </w:rPr>
  </w:style>
  <w:style w:type="paragraph" w:styleId="17">
    <w:name w:val="Body Text"/>
    <w:basedOn w:val="0"/>
    <w:pPr>
      <w:widowControl w:val="0"/>
      <w:autoSpaceDE w:val="0"/>
      <w:autoSpaceDN w:val="0"/>
      <w:spacing w:line="300" w:lineRule="auto"/>
      <w:ind w:firstLineChars="200" w:firstLine="200"/>
      <w:jc w:val="both"/>
    </w:pPr>
    <w:rPr>
      <w:rFonts w:ascii="宋体" w:eastAsia="宋体" w:cs="宋体" w:hAnsi="Times New Roman"/>
      <w:kern w:val="2"/>
      <w:sz w:val="18"/>
      <w:szCs w:val="18"/>
      <w:lang w:val="en-US"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header" Target="header1.xml"/><Relationship Id="rId3" Type="http://schemas.openxmlformats.org/officeDocument/2006/relationships/styles" Target="styles.xml"/><Relationship Id="rId4" Type="http://schemas.openxmlformats.org/officeDocument/2006/relationships/fontTable" Target="fontTable.xml"/><Relationship Id="rId5" Type="http://schemas.openxmlformats.org/officeDocument/2006/relationships/customXml" Target="../customXml/item1.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1"/>
    <sectPr/>
  </customProps>
</customData>
</file>

<file path=customXml/itemProps1.xml><?xml version="1.0" encoding="utf-8"?>
<ds:datastoreItem xmlns:ds="http://schemas.openxmlformats.org/officeDocument/2006/customXml" ds:itemID="{EF879925-1169-4BAB-8D0C-98064265124A}">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0</TotalTime>
  <Application>Yozo_Office27021597764231179</Application>
  <Pages>4</Pages>
  <Words>0</Words>
  <Characters>1272</Characters>
  <Lines>0</Lines>
  <Paragraphs>67</Paragraphs>
  <CharactersWithSpaces>1696</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Administrator</cp:lastModifiedBy>
  <cp:revision>1</cp:revision>
  <dcterms:created xsi:type="dcterms:W3CDTF">2025-03-04T07:23:16Z</dcterms:created>
  <dcterms:modified xsi:type="dcterms:W3CDTF">2025-03-06T06:40:55Z</dcterms:modified>
</cp:coreProperties>
</file>