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sz w:val="44"/>
          <w:szCs w:val="44"/>
        </w:rPr>
      </w:pPr>
      <w:r>
        <w:rPr>
          <w:rFonts w:ascii="方正小标宋简体" w:eastAsia="方正小标宋简体" w:cs="方正小标宋简体"/>
          <w:bCs/>
          <w:sz w:val="28"/>
          <w:szCs w:val="28"/>
        </w:rPr>
        <w:t xml:space="preserve"> </w:t>
      </w: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pPr>
        <w:wordWrap w:val="0"/>
        <w:snapToGrid w:val="0"/>
        <w:spacing w:beforeLines="100" w:afterLines="100" w:line="520" w:lineRule="exact"/>
        <w:jc w:val="center"/>
        <w:rPr>
          <w:rFonts w:ascii="仿宋_GB2312" w:eastAsia="仿宋_GB2312" w:cs="仿宋"/>
          <w:sz w:val="32"/>
          <w:szCs w:val="32"/>
        </w:rPr>
      </w:pPr>
      <w:r>
        <w:rPr>
          <w:rFonts w:ascii="仿宋_GB2312" w:hAnsi="仿宋_GB2312"/>
        </w:rPr>
        <w:pict>
          <v:shape id="_x0000_s1028" o:spid="_x0000_s1028" o:spt="32" type="#_x0000_t32" style="position:absolute;left:0pt;margin-left:2pt;margin-top:1638pt;height:0.1pt;width:453.7pt;z-index:251659264;mso-width-relative:page;mso-height-relative:page;" filled="f" coordsize="21600,21600">
            <v:path arrowok="t"/>
            <v:fill on="f" focussize="0,0"/>
            <v:stroke weight="1.5pt"/>
            <v:imagedata o:title=""/>
            <o:lock v:ext="edit"/>
          </v:shape>
        </w:pict>
      </w:r>
      <w:r>
        <w:rPr>
          <w:rFonts w:ascii="仿宋_GB2312" w:eastAsia="仿宋_GB2312" w:cs="仿宋"/>
          <w:sz w:val="32"/>
          <w:szCs w:val="32"/>
        </w:rPr>
        <w:t xml:space="preserve"> </w:t>
      </w:r>
      <w:r>
        <w:rPr>
          <w:rFonts w:hint="eastAsia" w:ascii="仿宋_GB2312" w:eastAsia="仿宋_GB2312" w:cs="仿宋"/>
          <w:sz w:val="32"/>
          <w:szCs w:val="32"/>
        </w:rPr>
        <w:t>秦市监处</w:t>
      </w:r>
      <w:r>
        <w:rPr>
          <w:rFonts w:ascii="仿宋_GB2312" w:eastAsia="仿宋_GB2312" w:cs="仿宋"/>
          <w:sz w:val="32"/>
          <w:szCs w:val="32"/>
        </w:rPr>
        <w:t>罚</w:t>
      </w:r>
      <w:r>
        <w:rPr>
          <w:rFonts w:hint="eastAsia" w:ascii="仿宋_GB2312" w:eastAsia="仿宋_GB2312" w:cs="仿宋"/>
          <w:sz w:val="32"/>
          <w:szCs w:val="32"/>
        </w:rPr>
        <w:t>〔2024〕36号</w:t>
      </w:r>
    </w:p>
    <w:p>
      <w:pPr>
        <w:spacing w:line="560" w:lineRule="exact"/>
        <w:ind w:left="1" w:hanging="1"/>
        <w:rPr>
          <w:rFonts w:ascii="仿宋_GB2312" w:eastAsia="仿宋_GB2312" w:cs="Mongolian Baiti"/>
          <w:sz w:val="32"/>
          <w:szCs w:val="32"/>
        </w:rPr>
      </w:pPr>
      <w:r>
        <w:rPr>
          <w:rFonts w:hint="eastAsia" w:ascii="仿宋_GB2312" w:eastAsia="仿宋_GB2312" w:cs="Mongolian Baiti"/>
          <w:sz w:val="32"/>
          <w:szCs w:val="32"/>
        </w:rPr>
        <w:t>当事人：</w:t>
      </w:r>
      <w:r>
        <w:rPr>
          <w:rFonts w:hint="eastAsia" w:ascii="仿宋_GB2312" w:eastAsia="仿宋_GB2312" w:cs="仿宋"/>
          <w:color w:val="000000"/>
          <w:sz w:val="32"/>
          <w:szCs w:val="32"/>
        </w:rPr>
        <w:t>秦皇岛诺岛商贸有限公司</w:t>
      </w:r>
      <w:r>
        <w:rPr>
          <w:rFonts w:ascii="仿宋_GB2312" w:eastAsia="仿宋_GB2312" w:cs="Mongolian Baiti"/>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Mongolian Baiti"/>
          <w:sz w:val="32"/>
          <w:szCs w:val="32"/>
        </w:rPr>
        <w:t>主体资格证照名称：</w:t>
      </w:r>
      <w:r>
        <w:rPr>
          <w:rFonts w:hint="eastAsia" w:ascii="仿宋_GB2312" w:eastAsia="仿宋_GB2312" w:cs="仿宋_GB2312"/>
          <w:sz w:val="32"/>
          <w:szCs w:val="32"/>
        </w:rPr>
        <w:t>营业执照</w:t>
      </w:r>
      <w:r>
        <w:rPr>
          <w:rFonts w:ascii="仿宋_GB2312" w:eastAsia="仿宋_GB2312" w:cs="Mongolian Baiti"/>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Mongolian Baiti"/>
          <w:sz w:val="32"/>
          <w:szCs w:val="32"/>
        </w:rPr>
        <w:t>统一社会信用代码（注册证号）：</w:t>
      </w:r>
      <w:r>
        <w:rPr>
          <w:rFonts w:ascii="仿宋_GB2312" w:eastAsia="仿宋_GB2312" w:cs="仿宋_GB2312"/>
          <w:sz w:val="32"/>
          <w:szCs w:val="32"/>
        </w:rPr>
        <w:t>9113030</w:t>
      </w:r>
      <w:r>
        <w:rPr>
          <w:rFonts w:hint="eastAsia" w:ascii="仿宋_GB2312" w:eastAsia="仿宋_GB2312" w:cs="仿宋_GB2312"/>
          <w:sz w:val="32"/>
          <w:szCs w:val="32"/>
        </w:rPr>
        <w:t>6</w:t>
      </w:r>
      <w:r>
        <w:rPr>
          <w:rFonts w:ascii="仿宋_GB2312" w:eastAsia="仿宋_GB2312" w:cs="仿宋_GB2312"/>
          <w:sz w:val="32"/>
          <w:szCs w:val="32"/>
        </w:rPr>
        <w:t>MA0D</w:t>
      </w:r>
      <w:r>
        <w:rPr>
          <w:rFonts w:hint="eastAsia" w:ascii="仿宋_GB2312" w:eastAsia="仿宋_GB2312" w:cs="仿宋_GB2312"/>
          <w:sz w:val="32"/>
          <w:szCs w:val="32"/>
        </w:rPr>
        <w:t>FRD82J</w:t>
      </w:r>
      <w:r>
        <w:rPr>
          <w:rFonts w:ascii="仿宋_GB2312" w:eastAsia="仿宋_GB2312" w:cs="Mongolian Baiti"/>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仿宋_GB2312"/>
          <w:color w:val="000000"/>
          <w:sz w:val="32"/>
          <w:szCs w:val="32"/>
        </w:rPr>
        <w:t>住所（住址）:</w:t>
      </w:r>
      <w:r>
        <w:rPr>
          <w:rFonts w:hint="eastAsia" w:ascii="仿宋_GB2312" w:eastAsia="仿宋_GB2312" w:cs="仿宋"/>
          <w:sz w:val="32"/>
          <w:szCs w:val="32"/>
        </w:rPr>
        <w:t>河北省秦皇岛市抚宁区榆关镇李庄村006号</w:t>
      </w:r>
      <w:r>
        <w:rPr>
          <w:rFonts w:ascii="仿宋_GB2312" w:eastAsia="仿宋_GB2312" w:cs="Mongolian Baiti"/>
          <w:spacing w:val="-8"/>
          <w:sz w:val="32"/>
          <w:szCs w:val="32"/>
        </w:rPr>
        <w:t xml:space="preserve">          </w:t>
      </w:r>
      <w:r>
        <w:rPr>
          <w:rFonts w:ascii="仿宋_GB2312" w:eastAsia="仿宋_GB2312" w:cs="Mongolian Baiti"/>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Mongolian Baiti"/>
          <w:sz w:val="32"/>
          <w:szCs w:val="32"/>
        </w:rPr>
        <w:t>法定代表人（负责人、经营者）：</w:t>
      </w:r>
      <w:r>
        <w:rPr>
          <w:rFonts w:hint="eastAsia" w:ascii="仿宋_GB2312" w:eastAsia="仿宋_GB2312" w:cs="仿宋_GB2312"/>
          <w:sz w:val="32"/>
          <w:szCs w:val="32"/>
        </w:rPr>
        <w:t>董洪江</w:t>
      </w:r>
      <w:r>
        <w:rPr>
          <w:rFonts w:ascii="仿宋_GB2312" w:eastAsia="仿宋_GB2312" w:cs="Mongolian Baiti"/>
          <w:sz w:val="32"/>
          <w:szCs w:val="32"/>
        </w:rPr>
        <w:t xml:space="preserve">                        </w:t>
      </w:r>
    </w:p>
    <w:p>
      <w:pPr>
        <w:spacing w:line="560" w:lineRule="exact"/>
        <w:ind w:left="1" w:hanging="1"/>
        <w:rPr>
          <w:rFonts w:ascii="仿宋_GB2312" w:eastAsia="仿宋_GB2312" w:cs="Mongolian Baiti"/>
          <w:sz w:val="32"/>
          <w:szCs w:val="32"/>
        </w:rPr>
      </w:pPr>
      <w:r>
        <w:rPr>
          <w:rFonts w:hint="eastAsia" w:ascii="仿宋_GB2312" w:eastAsia="仿宋_GB2312" w:cs="Mongolian Baiti"/>
          <w:spacing w:val="-26"/>
          <w:sz w:val="32"/>
          <w:szCs w:val="32"/>
        </w:rPr>
        <w:t>身份证</w:t>
      </w:r>
      <w:r>
        <w:rPr>
          <w:rFonts w:hint="eastAsia" w:ascii="仿宋_GB2312" w:eastAsia="仿宋_GB2312" w:cs="Mongolian Baiti"/>
          <w:sz w:val="32"/>
          <w:szCs w:val="32"/>
        </w:rPr>
        <w:t>（</w:t>
      </w:r>
      <w:r>
        <w:rPr>
          <w:rFonts w:hint="eastAsia" w:ascii="仿宋_GB2312" w:eastAsia="仿宋_GB2312" w:cs="Mongolian Baiti"/>
          <w:spacing w:val="-26"/>
          <w:sz w:val="32"/>
          <w:szCs w:val="32"/>
        </w:rPr>
        <w:t>其他有效证件</w:t>
      </w:r>
      <w:r>
        <w:rPr>
          <w:rFonts w:hint="eastAsia" w:ascii="仿宋_GB2312" w:eastAsia="仿宋_GB2312" w:cs="Mongolian Baiti"/>
          <w:spacing w:val="-57"/>
          <w:sz w:val="32"/>
          <w:szCs w:val="32"/>
        </w:rPr>
        <w:t>）</w:t>
      </w:r>
      <w:r>
        <w:rPr>
          <w:rFonts w:hint="eastAsia" w:ascii="仿宋_GB2312" w:eastAsia="仿宋_GB2312" w:cs="Mongolian Baiti"/>
          <w:spacing w:val="-26"/>
          <w:sz w:val="32"/>
          <w:szCs w:val="32"/>
        </w:rPr>
        <w:t>号码：</w:t>
      </w:r>
      <w:r>
        <w:rPr>
          <w:rFonts w:hint="eastAsia" w:ascii="宋体" w:cs="仿宋"/>
          <w:sz w:val="32"/>
          <w:szCs w:val="32"/>
        </w:rPr>
        <w:t>1303231988</w:t>
      </w:r>
      <w:r>
        <w:rPr>
          <w:rFonts w:hint="eastAsia" w:ascii="宋体" w:cs="仿宋"/>
          <w:sz w:val="32"/>
          <w:szCs w:val="32"/>
          <w:lang w:val="en-US" w:eastAsia="zh-CN"/>
        </w:rPr>
        <w:t>********</w:t>
      </w:r>
      <w:r>
        <w:rPr>
          <w:rFonts w:ascii="仿宋_GB2312" w:eastAsia="仿宋_GB2312" w:cs="Mongolian Baiti"/>
          <w:sz w:val="32"/>
          <w:szCs w:val="32"/>
        </w:rPr>
        <w:t xml:space="preserve">               </w:t>
      </w:r>
    </w:p>
    <w:p>
      <w:pPr>
        <w:spacing w:line="560" w:lineRule="exact"/>
        <w:ind w:left="1" w:hanging="1"/>
        <w:rPr>
          <w:rFonts w:ascii="仿宋_GB2312" w:eastAsia="仿宋_GB2312" w:cs="仿宋"/>
          <w:sz w:val="32"/>
          <w:szCs w:val="32"/>
        </w:rPr>
      </w:pPr>
      <w:r>
        <w:rPr>
          <w:rFonts w:hint="eastAsia" w:ascii="仿宋_GB2312" w:eastAsia="仿宋_GB2312" w:cs="仿宋"/>
          <w:sz w:val="32"/>
          <w:szCs w:val="32"/>
        </w:rPr>
        <w:t>联系电话：</w:t>
      </w:r>
      <w:r>
        <w:rPr>
          <w:rFonts w:hint="eastAsia" w:ascii="仿宋" w:eastAsia="仿宋" w:cs="仿宋"/>
          <w:sz w:val="32"/>
          <w:szCs w:val="32"/>
        </w:rPr>
        <w:t>187</w:t>
      </w:r>
      <w:r>
        <w:rPr>
          <w:rFonts w:hint="eastAsia" w:ascii="仿宋" w:eastAsia="仿宋" w:cs="仿宋"/>
          <w:sz w:val="32"/>
          <w:szCs w:val="32"/>
          <w:lang w:val="en-US" w:eastAsia="zh-CN"/>
        </w:rPr>
        <w:t>****</w:t>
      </w:r>
      <w:bookmarkStart w:id="0" w:name="_GoBack"/>
      <w:bookmarkEnd w:id="0"/>
      <w:r>
        <w:rPr>
          <w:rFonts w:hint="eastAsia" w:ascii="仿宋" w:eastAsia="仿宋" w:cs="仿宋"/>
          <w:sz w:val="32"/>
          <w:szCs w:val="32"/>
        </w:rPr>
        <w:t xml:space="preserve">8666 </w:t>
      </w:r>
      <w:r>
        <w:rPr>
          <w:rFonts w:hint="eastAsia" w:ascii="仿宋_GB2312" w:eastAsia="仿宋_GB2312" w:cs="仿宋"/>
          <w:sz w:val="32"/>
          <w:szCs w:val="32"/>
        </w:rPr>
        <w:t>其他联系方式：无</w:t>
      </w:r>
      <w:r>
        <w:rPr>
          <w:rFonts w:ascii="仿宋_GB2312" w:eastAsia="仿宋_GB2312" w:cs="仿宋"/>
          <w:sz w:val="32"/>
          <w:szCs w:val="32"/>
        </w:rPr>
        <w:t xml:space="preserve">            </w:t>
      </w:r>
    </w:p>
    <w:p>
      <w:pPr>
        <w:spacing w:line="560" w:lineRule="exact"/>
        <w:ind w:left="1" w:hanging="1"/>
        <w:rPr>
          <w:rFonts w:ascii="仿宋_GB2312" w:eastAsia="仿宋_GB2312" w:cs="仿宋"/>
          <w:sz w:val="32"/>
          <w:szCs w:val="32"/>
        </w:rPr>
      </w:pPr>
      <w:r>
        <w:rPr>
          <w:rFonts w:hint="eastAsia" w:ascii="仿宋_GB2312" w:eastAsia="仿宋_GB2312" w:cs="仿宋_GB2312"/>
          <w:color w:val="000000"/>
          <w:sz w:val="32"/>
          <w:szCs w:val="32"/>
        </w:rPr>
        <w:t>联系地址：</w:t>
      </w:r>
      <w:r>
        <w:rPr>
          <w:rFonts w:hint="eastAsia" w:ascii="仿宋_GB2312" w:eastAsia="仿宋_GB2312" w:cs="仿宋"/>
          <w:sz w:val="32"/>
          <w:szCs w:val="32"/>
        </w:rPr>
        <w:t>河北省秦皇岛市抚宁区榆关镇李庄村006号</w:t>
      </w:r>
      <w:r>
        <w:rPr>
          <w:rFonts w:ascii="仿宋_GB2312" w:eastAsia="仿宋_GB2312" w:cs="Mongolian Baiti"/>
          <w:spacing w:val="-8"/>
          <w:sz w:val="32"/>
          <w:szCs w:val="32"/>
        </w:rPr>
        <w:t xml:space="preserve">         </w:t>
      </w:r>
      <w:r>
        <w:rPr>
          <w:rFonts w:ascii="仿宋_GB2312" w:eastAsia="仿宋_GB2312" w:cs="Mongolian Baiti"/>
          <w:sz w:val="32"/>
          <w:szCs w:val="32"/>
        </w:rPr>
        <w:t xml:space="preserve"> </w:t>
      </w:r>
      <w:r>
        <w:rPr>
          <w:rFonts w:ascii="仿宋_GB2312" w:eastAsia="仿宋_GB2312" w:cs="仿宋"/>
          <w:spacing w:val="-20"/>
          <w:sz w:val="32"/>
          <w:szCs w:val="32"/>
        </w:rPr>
        <w:t xml:space="preserve">         </w:t>
      </w:r>
      <w:r>
        <w:rPr>
          <w:rFonts w:ascii="仿宋_GB2312" w:eastAsia="仿宋_GB2312" w:cs="仿宋"/>
          <w:sz w:val="32"/>
          <w:szCs w:val="32"/>
        </w:rPr>
        <w:t xml:space="preserve">                       </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本案来源于监督抽检。经河北省食品检验研究院抽样检验，</w:t>
      </w:r>
      <w:r>
        <w:rPr>
          <w:rFonts w:ascii="仿宋_GB2312" w:eastAsia="仿宋_GB2312"/>
          <w:color w:val="000000"/>
          <w:sz w:val="32"/>
          <w:szCs w:val="32"/>
        </w:rPr>
        <w:t>当事人生产的</w:t>
      </w:r>
      <w:r>
        <w:rPr>
          <w:rFonts w:hint="eastAsia" w:ascii="仿宋_GB2312" w:eastAsia="仿宋_GB2312"/>
          <w:color w:val="000000"/>
          <w:sz w:val="32"/>
          <w:szCs w:val="32"/>
        </w:rPr>
        <w:t>碳烤鳕鱼片</w:t>
      </w:r>
      <w:r>
        <w:rPr>
          <w:rFonts w:ascii="仿宋_GB2312" w:eastAsia="仿宋_GB2312"/>
          <w:color w:val="000000"/>
          <w:sz w:val="32"/>
          <w:szCs w:val="32"/>
        </w:rPr>
        <w:t>，规格</w:t>
      </w:r>
      <w:r>
        <w:rPr>
          <w:rFonts w:hint="eastAsia" w:ascii="仿宋_GB2312" w:eastAsia="仿宋_GB2312"/>
          <w:color w:val="000000"/>
          <w:sz w:val="32"/>
          <w:szCs w:val="32"/>
        </w:rPr>
        <w:t>散装称重</w:t>
      </w:r>
      <w:r>
        <w:rPr>
          <w:rFonts w:ascii="仿宋_GB2312" w:eastAsia="仿宋_GB2312"/>
          <w:color w:val="000000"/>
          <w:sz w:val="32"/>
          <w:szCs w:val="32"/>
        </w:rPr>
        <w:t>，生产日期2024</w:t>
      </w:r>
      <w:r>
        <w:rPr>
          <w:rFonts w:hint="eastAsia" w:ascii="仿宋_GB2312" w:eastAsia="仿宋_GB2312"/>
          <w:color w:val="000000"/>
          <w:sz w:val="32"/>
          <w:szCs w:val="32"/>
        </w:rPr>
        <w:t>年8月20日</w:t>
      </w:r>
      <w:r>
        <w:rPr>
          <w:rFonts w:ascii="仿宋_GB2312" w:eastAsia="仿宋_GB2312"/>
          <w:color w:val="000000"/>
          <w:sz w:val="32"/>
          <w:szCs w:val="32"/>
        </w:rPr>
        <w:t>，N-二甲基亚硝胺项目不符合GB2762-2022《食品安全国家标准 食品中污染物限量》要求，检验结论为不合格。</w:t>
      </w:r>
      <w:r>
        <w:rPr>
          <w:rFonts w:hint="eastAsia" w:ascii="仿宋_GB2312" w:eastAsia="仿宋_GB2312" w:cs="仿宋_GB2312"/>
          <w:sz w:val="32"/>
          <w:szCs w:val="32"/>
        </w:rPr>
        <w:t>收到检验报告后，2024年9月26日，执法人员对当事人进行了检查，未发现抽检同批次的</w:t>
      </w:r>
      <w:r>
        <w:rPr>
          <w:rFonts w:hint="eastAsia" w:ascii="仿宋_GB2312" w:eastAsia="仿宋_GB2312"/>
          <w:color w:val="000000"/>
          <w:sz w:val="32"/>
          <w:szCs w:val="32"/>
        </w:rPr>
        <w:t>碳烤鳕鱼片</w:t>
      </w:r>
      <w:r>
        <w:rPr>
          <w:rFonts w:hint="eastAsia" w:ascii="仿宋_GB2312" w:eastAsia="仿宋_GB2312" w:cs="仿宋_GB2312"/>
          <w:sz w:val="32"/>
          <w:szCs w:val="32"/>
        </w:rPr>
        <w:t>，未采取行政强制措施。执法人员现场调取了当事人违法行为的证据。经局长批准，</w:t>
      </w:r>
      <w:r>
        <w:rPr>
          <w:rFonts w:hint="eastAsia" w:ascii="仿宋_GB2312" w:eastAsia="仿宋_GB2312" w:cs="仿宋_GB2312"/>
          <w:color w:val="000000"/>
          <w:sz w:val="32"/>
          <w:szCs w:val="32"/>
        </w:rPr>
        <w:t>202</w:t>
      </w:r>
      <w:r>
        <w:rPr>
          <w:rFonts w:ascii="仿宋_GB2312" w:eastAsia="仿宋_GB2312" w:cs="仿宋_GB2312"/>
          <w:color w:val="000000"/>
          <w:sz w:val="32"/>
          <w:szCs w:val="32"/>
        </w:rPr>
        <w:t>4</w:t>
      </w:r>
      <w:r>
        <w:rPr>
          <w:rFonts w:hint="eastAsia" w:ascii="仿宋_GB2312" w:eastAsia="仿宋_GB2312" w:cs="仿宋_GB2312"/>
          <w:color w:val="000000"/>
          <w:sz w:val="32"/>
          <w:szCs w:val="32"/>
        </w:rPr>
        <w:t>年9月26日</w:t>
      </w:r>
      <w:r>
        <w:rPr>
          <w:rFonts w:hint="eastAsia" w:ascii="仿宋_GB2312" w:eastAsia="仿宋_GB2312" w:cs="仿宋_GB2312"/>
          <w:sz w:val="32"/>
          <w:szCs w:val="32"/>
        </w:rPr>
        <w:t>，该案立案调查。案件承办人员在调查过程中提取了当事人</w:t>
      </w:r>
      <w:r>
        <w:rPr>
          <w:rFonts w:ascii="仿宋_GB2312" w:eastAsia="仿宋_GB2312" w:cs="仿宋_GB2312"/>
          <w:bCs/>
          <w:sz w:val="32"/>
          <w:szCs w:val="32"/>
        </w:rPr>
        <w:t>生产不符合食品安全标准的食品</w:t>
      </w:r>
      <w:r>
        <w:rPr>
          <w:rFonts w:hint="eastAsia" w:ascii="仿宋_GB2312" w:eastAsia="仿宋_GB2312" w:cs="仿宋_GB2312"/>
          <w:sz w:val="32"/>
          <w:szCs w:val="32"/>
        </w:rPr>
        <w:t>的物证、书证及当事人的询问笔录，并形成了完整的证据链。</w:t>
      </w:r>
    </w:p>
    <w:p>
      <w:pPr>
        <w:spacing w:line="560" w:lineRule="exact"/>
        <w:ind w:firstLine="640" w:firstLineChars="200"/>
        <w:rPr>
          <w:rFonts w:ascii="仿宋_GB2312" w:eastAsia="仿宋_GB2312" w:cs="仿宋"/>
          <w:bCs/>
          <w:sz w:val="32"/>
          <w:szCs w:val="32"/>
        </w:rPr>
      </w:pPr>
      <w:r>
        <w:rPr>
          <w:rFonts w:ascii="仿宋_GB2312" w:eastAsia="仿宋_GB2312" w:cs="仿宋_GB2312"/>
          <w:sz w:val="32"/>
          <w:szCs w:val="32"/>
        </w:rPr>
        <w:t>经调查，</w:t>
      </w:r>
      <w:r>
        <w:rPr>
          <w:rFonts w:hint="eastAsia" w:ascii="仿宋_GB2312" w:eastAsia="仿宋_GB2312" w:cs="仿宋_GB2312"/>
          <w:sz w:val="32"/>
          <w:szCs w:val="32"/>
        </w:rPr>
        <w:t>该公司为分装企业，于2024年8月12日从</w:t>
      </w:r>
      <w:r>
        <w:rPr>
          <w:rFonts w:hint="eastAsia" w:ascii="仿宋_GB2312" w:eastAsia="仿宋_GB2312" w:cs="仿宋"/>
          <w:sz w:val="32"/>
          <w:szCs w:val="32"/>
        </w:rPr>
        <w:t>青岛南大洋食品有限公司</w:t>
      </w:r>
      <w:r>
        <w:rPr>
          <w:rFonts w:hint="eastAsia" w:ascii="仿宋_GB2312" w:eastAsia="仿宋_GB2312" w:cs="仿宋_GB2312"/>
          <w:sz w:val="32"/>
          <w:szCs w:val="32"/>
        </w:rPr>
        <w:t>购进了5公斤每箱的大包装碳烤鳕鱼片16箱共计80公斤。</w:t>
      </w:r>
      <w:r>
        <w:rPr>
          <w:rFonts w:hint="eastAsia" w:ascii="仿宋_GB2312" w:eastAsia="仿宋_GB2312" w:cs="仿宋"/>
          <w:sz w:val="32"/>
          <w:szCs w:val="32"/>
        </w:rPr>
        <w:t>分别于8月15日生产了75公斤，8月20日生产了5公斤。8月15日生产的75公斤碳烤鳕鱼片分别于9</w:t>
      </w:r>
      <w:r>
        <w:rPr>
          <w:rFonts w:hint="eastAsia" w:ascii="仿宋_GB2312" w:eastAsia="仿宋_GB2312" w:cs="仿宋"/>
          <w:bCs/>
          <w:sz w:val="32"/>
          <w:szCs w:val="32"/>
        </w:rPr>
        <w:t>月9日销售15公斤，9月13日销售15公斤，9月14日销售25公斤，9月23日销售18.8公斤，用于出厂检验1.2公斤。由于该批次产品及原料均已经没有库存，无法进行抽检，没有检验报告作为证据支撑，所以不计入货值金额和违法所得。</w:t>
      </w:r>
      <w:r>
        <w:rPr>
          <w:rFonts w:hint="eastAsia" w:ascii="仿宋_GB2312" w:eastAsia="仿宋_GB2312" w:cs="仿宋"/>
          <w:sz w:val="32"/>
          <w:szCs w:val="32"/>
        </w:rPr>
        <w:t>8月20日生产的5公斤碳烤鳕鱼片于</w:t>
      </w:r>
      <w:r>
        <w:rPr>
          <w:rFonts w:hint="eastAsia" w:ascii="仿宋_GB2312" w:eastAsia="仿宋_GB2312" w:cs="仿宋"/>
          <w:bCs/>
          <w:sz w:val="32"/>
          <w:szCs w:val="32"/>
        </w:rPr>
        <w:t>8月20日销售2.2公斤，抽样人员买样1.6公斤，销售价格均为70元每公斤，出厂检验用了1.2公斤。</w:t>
      </w:r>
      <w:r>
        <w:rPr>
          <w:rFonts w:hint="eastAsia" w:ascii="仿宋_GB2312" w:eastAsia="仿宋_GB2312" w:cs="仿宋_GB2312"/>
          <w:sz w:val="32"/>
          <w:szCs w:val="32"/>
        </w:rPr>
        <w:t>所以该批次抽检不合格的</w:t>
      </w:r>
      <w:r>
        <w:rPr>
          <w:rFonts w:hint="eastAsia" w:ascii="仿宋_GB2312" w:eastAsia="仿宋_GB2312" w:cs="仿宋"/>
          <w:sz w:val="32"/>
          <w:szCs w:val="32"/>
        </w:rPr>
        <w:t>碳烤鳕鱼片（</w:t>
      </w:r>
      <w:r>
        <w:rPr>
          <w:rFonts w:ascii="仿宋_GB2312" w:eastAsia="仿宋_GB2312"/>
          <w:color w:val="000000"/>
          <w:sz w:val="32"/>
          <w:szCs w:val="32"/>
        </w:rPr>
        <w:t>生产日期2024</w:t>
      </w:r>
      <w:r>
        <w:rPr>
          <w:rFonts w:hint="eastAsia" w:ascii="仿宋_GB2312" w:eastAsia="仿宋_GB2312"/>
          <w:color w:val="000000"/>
          <w:sz w:val="32"/>
          <w:szCs w:val="32"/>
        </w:rPr>
        <w:t>年8月20日</w:t>
      </w:r>
      <w:r>
        <w:rPr>
          <w:rFonts w:hint="eastAsia" w:ascii="仿宋_GB2312" w:eastAsia="仿宋_GB2312" w:cs="仿宋"/>
          <w:sz w:val="32"/>
          <w:szCs w:val="32"/>
        </w:rPr>
        <w:t>）</w:t>
      </w:r>
      <w:r>
        <w:rPr>
          <w:rFonts w:hint="eastAsia" w:ascii="仿宋_GB2312" w:eastAsia="仿宋_GB2312"/>
          <w:color w:val="000000"/>
          <w:sz w:val="32"/>
          <w:szCs w:val="32"/>
        </w:rPr>
        <w:t>，</w:t>
      </w:r>
      <w:r>
        <w:rPr>
          <w:rFonts w:hint="eastAsia" w:ascii="仿宋_GB2312" w:eastAsia="仿宋_GB2312" w:cs="仿宋_GB2312"/>
          <w:sz w:val="32"/>
          <w:szCs w:val="32"/>
        </w:rPr>
        <w:t>当事人一共生产了5公斤，销售了3.8公斤，每公斤售价70元。该案的货值金额为5*70=350元，违法所得为3.8*70=266元。</w:t>
      </w:r>
      <w:r>
        <w:rPr>
          <w:rFonts w:hint="eastAsia" w:ascii="仿宋_GB2312" w:eastAsia="仿宋_GB2312" w:cs="仿宋"/>
          <w:sz w:val="32"/>
          <w:szCs w:val="32"/>
        </w:rPr>
        <w:t>上述事实，主要有以下证据证明：</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1.</w:t>
      </w:r>
      <w:r>
        <w:rPr>
          <w:rFonts w:hint="eastAsia" w:ascii="仿宋_GB2312" w:eastAsia="仿宋_GB2312" w:cs="仿宋_GB2312"/>
          <w:sz w:val="32"/>
          <w:szCs w:val="32"/>
        </w:rPr>
        <w:t>当事人营业执照、食品生产许可证复印件、证明当事人合法资质。</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2.法定代表人董洪江身份证复印件，证明董洪江</w:t>
      </w:r>
      <w:r>
        <w:rPr>
          <w:rFonts w:hint="eastAsia" w:ascii="仿宋_GB2312" w:eastAsia="仿宋_GB2312"/>
          <w:sz w:val="32"/>
          <w:szCs w:val="32"/>
        </w:rPr>
        <w:t>所作的陈述和行为为职务行为，具有法律效力</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3.执法人员调取的当事人生产记录、销售记录、出厂检验报告等，证明当事人生产数量及销售的数量和价格。</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w:t>
      </w:r>
      <w:r>
        <w:rPr>
          <w:rFonts w:hint="eastAsia" w:ascii="仿宋_GB2312" w:eastAsia="仿宋_GB2312" w:cs="仿宋"/>
          <w:sz w:val="32"/>
          <w:szCs w:val="32"/>
        </w:rPr>
        <w:t>碳烤鳕鱼片</w:t>
      </w:r>
      <w:r>
        <w:rPr>
          <w:rFonts w:hint="eastAsia" w:ascii="仿宋_GB2312" w:eastAsia="仿宋_GB2312" w:cs="仿宋_GB2312"/>
          <w:sz w:val="32"/>
          <w:szCs w:val="32"/>
        </w:rPr>
        <w:t>的供货厂家</w:t>
      </w:r>
      <w:r>
        <w:rPr>
          <w:rFonts w:hint="eastAsia" w:ascii="仿宋_GB2312" w:eastAsia="仿宋_GB2312" w:cs="仿宋"/>
          <w:sz w:val="32"/>
          <w:szCs w:val="32"/>
        </w:rPr>
        <w:t>青岛南大洋食品有限公司</w:t>
      </w:r>
      <w:r>
        <w:rPr>
          <w:rFonts w:hint="eastAsia" w:ascii="仿宋_GB2312" w:eastAsia="仿宋_GB2312" w:cs="仿宋_GB2312"/>
          <w:sz w:val="32"/>
          <w:szCs w:val="32"/>
        </w:rPr>
        <w:t>营业执照复印件、生产许可证复印件、出厂检验报告，证明当事人进货渠道。</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5.当事人紫外线机使用记录复印件，证明当事人生产过程控制情况。</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6.现场检查笔录、董洪江的询问笔录，证明</w:t>
      </w:r>
      <w:r>
        <w:rPr>
          <w:rFonts w:hint="eastAsia" w:ascii="仿宋_GB2312" w:eastAsia="仿宋_GB2312" w:cs="仿宋_GB2312"/>
          <w:bCs/>
          <w:sz w:val="32"/>
          <w:szCs w:val="32"/>
        </w:rPr>
        <w:t>执法人员现场发现情况及违法事实</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
          <w:sz w:val="32"/>
          <w:szCs w:val="32"/>
        </w:rPr>
        <w:t>202</w:t>
      </w:r>
      <w:r>
        <w:rPr>
          <w:rFonts w:ascii="仿宋_GB2312" w:eastAsia="仿宋_GB2312" w:cs="仿宋"/>
          <w:sz w:val="32"/>
          <w:szCs w:val="32"/>
        </w:rPr>
        <w:t>4</w:t>
      </w:r>
      <w:r>
        <w:rPr>
          <w:rFonts w:hint="eastAsia" w:ascii="仿宋_GB2312" w:eastAsia="仿宋_GB2312" w:cs="仿宋"/>
          <w:sz w:val="32"/>
          <w:szCs w:val="32"/>
        </w:rPr>
        <w:t>年10月21日，我局依法向当事人送达了秦市监罚告〔202</w:t>
      </w:r>
      <w:r>
        <w:rPr>
          <w:rFonts w:ascii="仿宋_GB2312" w:eastAsia="仿宋_GB2312" w:cs="仿宋"/>
          <w:sz w:val="32"/>
          <w:szCs w:val="32"/>
        </w:rPr>
        <w:t>4</w:t>
      </w:r>
      <w:r>
        <w:rPr>
          <w:rFonts w:hint="eastAsia" w:ascii="仿宋_GB2312" w:eastAsia="仿宋_GB2312" w:cs="仿宋"/>
          <w:sz w:val="32"/>
          <w:szCs w:val="32"/>
        </w:rPr>
        <w:t>〕</w:t>
      </w:r>
      <w:r>
        <w:rPr>
          <w:rFonts w:ascii="仿宋_GB2312" w:eastAsia="仿宋_GB2312" w:cs="仿宋"/>
          <w:sz w:val="32"/>
          <w:szCs w:val="32"/>
        </w:rPr>
        <w:t>食支</w:t>
      </w:r>
      <w:r>
        <w:rPr>
          <w:rFonts w:hint="eastAsia" w:ascii="仿宋_GB2312" w:eastAsia="仿宋_GB2312" w:cs="仿宋"/>
          <w:sz w:val="32"/>
          <w:szCs w:val="32"/>
        </w:rPr>
        <w:t>11号行政处罚告知书，</w:t>
      </w:r>
      <w:r>
        <w:rPr>
          <w:rFonts w:hint="eastAsia" w:ascii="仿宋_GB2312" w:eastAsia="仿宋_GB2312" w:cs="仿宋_GB2312"/>
          <w:bCs/>
          <w:sz w:val="32"/>
          <w:szCs w:val="32"/>
        </w:rPr>
        <w:t>告知当事人拟作出行政处罚决定的事实、理由、依据及依法享有的陈述、申辩权，</w:t>
      </w:r>
      <w:r>
        <w:rPr>
          <w:rFonts w:ascii="仿宋_GB2312" w:eastAsia="仿宋_GB2312" w:cs="仿宋_GB2312"/>
          <w:bCs/>
          <w:sz w:val="32"/>
          <w:szCs w:val="32"/>
        </w:rPr>
        <w:t>听证权，</w:t>
      </w:r>
      <w:r>
        <w:rPr>
          <w:rFonts w:hint="eastAsia" w:ascii="仿宋_GB2312" w:eastAsia="仿宋_GB2312" w:cs="仿宋_GB2312"/>
          <w:bCs/>
          <w:sz w:val="32"/>
          <w:szCs w:val="32"/>
        </w:rPr>
        <w:t>当事人在法定期限内未向我局提出任何陈述、申辩意见</w:t>
      </w:r>
      <w:r>
        <w:rPr>
          <w:rFonts w:ascii="仿宋_GB2312" w:eastAsia="仿宋_GB2312" w:cs="仿宋_GB2312"/>
          <w:bCs/>
          <w:sz w:val="32"/>
          <w:szCs w:val="32"/>
        </w:rPr>
        <w:t>，也未要求举行听证</w:t>
      </w:r>
      <w:r>
        <w:rPr>
          <w:rFonts w:hint="eastAsia" w:ascii="仿宋_GB2312" w:eastAsia="仿宋_GB2312" w:cs="仿宋_GB2312"/>
          <w:bCs/>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当事人生产N-二甲基亚硝胺项目不符合食品安全标准的食品的行为违反了《中华人民共和国食品安全法》第三十四条第一款第（十三）项（禁止生产经营下列食品、食品添加剂、食品相关产品：（十三）其他不符合法律、法规或者食品安全标准的食品、食品添加剂、食品相关产品）的规定。</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当事人积极配合调查，如实陈述违法事实。符合《河北省市场监督管理行政处罚裁量权适用规则》第十五条第（二）项的规定，所以拟处以从轻处罚，适用《河北省市场监督管理行政处罚裁量基准》《中华人民共和国食品安全法》行政裁量基准“5”较轻情形：“没收违法所得和违法生产经营的食品、食品添加剂，并可以没收用于违法生产经营的工具、设备、原料等物品；违法生产经营的食品、食品添加剂货值金额不足一万元的，并处五万元以上六万五千元以下罚款”。</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sz w:val="32"/>
          <w:szCs w:val="32"/>
        </w:rPr>
        <w:t>当事人</w:t>
      </w:r>
      <w:r>
        <w:rPr>
          <w:rFonts w:hint="eastAsia" w:ascii="仿宋_GB2312" w:eastAsia="仿宋_GB2312" w:cs="仿宋_GB2312"/>
          <w:bCs/>
          <w:sz w:val="32"/>
          <w:szCs w:val="32"/>
        </w:rPr>
        <w:t>生产不符合食品安全标准的食品</w:t>
      </w:r>
      <w:r>
        <w:rPr>
          <w:rFonts w:hint="eastAsia" w:ascii="仿宋_GB2312" w:eastAsia="仿宋_GB2312" w:cs="仿宋_GB2312"/>
          <w:sz w:val="32"/>
          <w:szCs w:val="32"/>
        </w:rPr>
        <w:t>的行为，依据《中华人民共和国食品安全法》第一百二十四条第二款</w:t>
      </w:r>
      <w:r>
        <w:rPr>
          <w:rFonts w:ascii="仿宋_GB2312" w:eastAsia="仿宋_GB2312" w:cs="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eastAsia="仿宋_GB2312" w:cs="仿宋_GB2312"/>
          <w:bCs/>
          <w:sz w:val="32"/>
          <w:szCs w:val="32"/>
        </w:rPr>
        <w:t>的规定，同时参照《河北省市场监督管理系统行政裁量权基准》，因用于生产加工制作涉案</w:t>
      </w:r>
      <w:r>
        <w:rPr>
          <w:rFonts w:hint="eastAsia" w:ascii="仿宋_GB2312" w:eastAsia="仿宋_GB2312" w:cs="仿宋"/>
          <w:sz w:val="32"/>
          <w:szCs w:val="32"/>
        </w:rPr>
        <w:t>碳烤鳕鱼片</w:t>
      </w:r>
      <w:r>
        <w:rPr>
          <w:rFonts w:hint="eastAsia" w:ascii="仿宋_GB2312" w:eastAsia="仿宋_GB2312" w:cs="仿宋_GB2312"/>
          <w:bCs/>
          <w:sz w:val="32"/>
          <w:szCs w:val="32"/>
        </w:rPr>
        <w:t>的工具、设备与生产加工其他食品的无法区分，无法予以没收。因此对当事人作出如下行政处罚：</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1、没收违法所得266元；</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2、</w:t>
      </w:r>
      <w:r>
        <w:rPr>
          <w:rFonts w:hint="eastAsia" w:ascii="仿宋_GB2312" w:eastAsia="仿宋_GB2312" w:cs="仿宋_GB2312"/>
          <w:sz w:val="32"/>
          <w:szCs w:val="32"/>
        </w:rPr>
        <w:t>处以</w:t>
      </w:r>
      <w:r>
        <w:rPr>
          <w:rFonts w:hint="eastAsia" w:ascii="仿宋_GB2312" w:eastAsia="仿宋_GB2312"/>
          <w:sz w:val="32"/>
          <w:szCs w:val="32"/>
        </w:rPr>
        <w:t>罚款</w:t>
      </w:r>
      <w:r>
        <w:rPr>
          <w:rFonts w:hint="eastAsia" w:ascii="仿宋_GB2312" w:eastAsia="仿宋_GB2312" w:cs="仿宋_GB2312"/>
          <w:sz w:val="32"/>
          <w:szCs w:val="32"/>
        </w:rPr>
        <w:t>50000元</w:t>
      </w:r>
      <w:r>
        <w:rPr>
          <w:rFonts w:hint="eastAsia" w:ascii="仿宋_GB2312" w:eastAsia="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罚没款合计人民币50266元。（大写：</w:t>
      </w:r>
      <w:r>
        <w:rPr>
          <w:rFonts w:ascii="仿宋_GB2312" w:eastAsia="仿宋_GB2312"/>
          <w:sz w:val="32"/>
          <w:szCs w:val="32"/>
        </w:rPr>
        <w:t>伍万零</w:t>
      </w:r>
      <w:r>
        <w:rPr>
          <w:rFonts w:hint="eastAsia" w:ascii="仿宋_GB2312" w:eastAsia="仿宋_GB2312"/>
          <w:sz w:val="32"/>
          <w:szCs w:val="32"/>
        </w:rPr>
        <w:t>贰佰陆拾陆元）</w:t>
      </w:r>
      <w:r>
        <w:rPr>
          <w:rFonts w:ascii="仿宋_GB2312" w:eastAsia="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 w:eastAsia="仿宋" w:cs="仿宋"/>
          <w:sz w:val="32"/>
          <w:szCs w:val="32"/>
        </w:rPr>
        <w:t>当事人应接到本处罚决定书之日起十五日内，到秦行金财支行（全称：秦皇岛市财政局，账号：634013010000002150）缴纳罚款；</w:t>
      </w:r>
      <w:r>
        <w:rPr>
          <w:rFonts w:hint="eastAsia" w:ascii="Times New Roman" w:hAnsi="Times New Roman" w:eastAsia="仿宋_GB2312" w:cs="仿宋_GB2312"/>
          <w:bCs/>
          <w:sz w:val="32"/>
          <w:szCs w:val="32"/>
        </w:rPr>
        <w:t>罚没许可证副本编号：07000005-1，正本编号：07000005，</w:t>
      </w:r>
      <w:r>
        <w:rPr>
          <w:rFonts w:hint="eastAsia" w:ascii="仿宋" w:eastAsia="仿宋" w:cs="仿宋"/>
          <w:sz w:val="32"/>
          <w:szCs w:val="32"/>
        </w:rPr>
        <w:t>逾期不缴纳的，依据《中华人民共和国行政处罚法》第七十二条的规定，本局将每日按罚款数额的百分之三加处罚款，并依法申请人民法院强制执行。</w:t>
      </w:r>
    </w:p>
    <w:p>
      <w:pPr>
        <w:spacing w:line="560" w:lineRule="exact"/>
        <w:ind w:firstLine="640" w:firstLineChars="200"/>
        <w:rPr>
          <w:rFonts w:ascii="仿宋" w:eastAsia="仿宋" w:cs="仿宋"/>
          <w:sz w:val="32"/>
          <w:szCs w:val="32"/>
        </w:rPr>
      </w:pPr>
      <w:r>
        <w:rPr>
          <w:rFonts w:hint="eastAsia" w:ascii="仿宋" w:eastAsia="仿宋" w:cs="仿宋"/>
          <w:sz w:val="32"/>
          <w:szCs w:val="32"/>
        </w:rPr>
        <w:t>如当事人不服本</w:t>
      </w:r>
      <w:r>
        <w:rPr>
          <w:rFonts w:ascii="仿宋" w:eastAsia="仿宋" w:cs="仿宋"/>
          <w:sz w:val="32"/>
          <w:szCs w:val="32"/>
        </w:rPr>
        <w:t>行政</w:t>
      </w:r>
      <w:r>
        <w:rPr>
          <w:rFonts w:hint="eastAsia" w:ascii="仿宋" w:eastAsia="仿宋" w:cs="仿宋"/>
          <w:sz w:val="32"/>
          <w:szCs w:val="32"/>
        </w:rPr>
        <w:t>处罚决定，可在接到本处罚决定书之日起六十日内，向秦皇岛市人民政府申请复议</w:t>
      </w:r>
      <w:r>
        <w:rPr>
          <w:rFonts w:ascii="仿宋" w:eastAsia="仿宋" w:cs="仿宋"/>
          <w:sz w:val="32"/>
          <w:szCs w:val="32"/>
        </w:rPr>
        <w:t>，</w:t>
      </w:r>
      <w:r>
        <w:rPr>
          <w:rFonts w:hint="eastAsia" w:ascii="仿宋" w:eastAsia="仿宋" w:cs="仿宋"/>
          <w:sz w:val="32"/>
          <w:szCs w:val="32"/>
        </w:rPr>
        <w:t>也可以在六个月内依法向海港区人民法院提起诉讼。申请行政复议或者提起行政诉讼期间，行政处罚不停止执行。</w:t>
      </w:r>
    </w:p>
    <w:p>
      <w:pPr>
        <w:wordWrap w:val="0"/>
        <w:snapToGrid w:val="0"/>
        <w:spacing w:line="520" w:lineRule="exact"/>
        <w:ind w:firstLine="4160" w:firstLineChars="1300"/>
        <w:rPr>
          <w:rFonts w:ascii="Times New Roman" w:hAnsi="Times New Roman" w:eastAsia="仿宋_GB2312" w:cs="仿宋"/>
          <w:sz w:val="32"/>
          <w:szCs w:val="32"/>
        </w:rPr>
      </w:pPr>
      <w:r>
        <w:rPr>
          <w:rFonts w:ascii="仿宋" w:eastAsia="仿宋" w:cs="Mongolian Baiti"/>
          <w:sz w:val="32"/>
          <w:szCs w:val="32"/>
        </w:rPr>
        <w:t xml:space="preserve"> </w:t>
      </w:r>
      <w:r>
        <w:rPr>
          <w:rFonts w:ascii="Times New Roman" w:hAnsi="Times New Roman" w:eastAsia="仿宋_GB2312" w:cs="仿宋"/>
          <w:sz w:val="32"/>
          <w:szCs w:val="32"/>
        </w:rPr>
        <w:t xml:space="preserve">    </w:t>
      </w:r>
    </w:p>
    <w:p>
      <w:pPr>
        <w:wordWrap w:val="0"/>
        <w:snapToGrid w:val="0"/>
        <w:spacing w:line="520" w:lineRule="exact"/>
        <w:ind w:firstLine="4160" w:firstLineChars="1300"/>
        <w:rPr>
          <w:rFonts w:ascii="Times New Roman" w:hAnsi="Times New Roman" w:eastAsia="仿宋_GB2312" w:cs="仿宋"/>
          <w:sz w:val="32"/>
          <w:szCs w:val="32"/>
        </w:rPr>
      </w:pPr>
    </w:p>
    <w:p>
      <w:pPr>
        <w:wordWrap w:val="0"/>
        <w:snapToGrid w:val="0"/>
        <w:spacing w:line="520" w:lineRule="exact"/>
        <w:ind w:firstLine="4160" w:firstLineChars="1300"/>
        <w:rPr>
          <w:rFonts w:ascii="Times New Roman" w:hAnsi="Times New Roman" w:eastAsia="仿宋_GB2312" w:cs="仿宋"/>
          <w:sz w:val="32"/>
          <w:szCs w:val="32"/>
        </w:rPr>
      </w:pPr>
    </w:p>
    <w:p>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秦皇岛市市场监督管理局</w:t>
      </w:r>
    </w:p>
    <w:p>
      <w:pPr>
        <w:wordWrap w:val="0"/>
        <w:snapToGrid w:val="0"/>
        <w:spacing w:line="520" w:lineRule="exact"/>
        <w:ind w:left="5602"/>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章）</w:t>
      </w:r>
      <w:r>
        <w:rPr>
          <w:rFonts w:ascii="Times New Roman" w:hAnsi="Times New Roman" w:eastAsia="仿宋_GB2312" w:cs="仿宋"/>
          <w:sz w:val="32"/>
          <w:szCs w:val="32"/>
        </w:rPr>
        <w:t xml:space="preserve">        </w:t>
      </w:r>
    </w:p>
    <w:p>
      <w:pPr>
        <w:wordWrap w:val="0"/>
        <w:snapToGrid w:val="0"/>
        <w:spacing w:line="520" w:lineRule="exact"/>
        <w:ind w:firstLine="640"/>
        <w:jc w:val="center"/>
        <w:rPr>
          <w:rFonts w:ascii="Times New Roman" w:hAnsi="Times New Roman" w:eastAsia="仿宋_GB2312" w:cs="仿宋"/>
          <w:b/>
          <w:bCs/>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202</w:t>
      </w:r>
      <w:r>
        <w:rPr>
          <w:rFonts w:ascii="Times New Roman" w:hAnsi="Times New Roman" w:eastAsia="仿宋_GB2312" w:cs="仿宋"/>
          <w:sz w:val="32"/>
          <w:szCs w:val="32"/>
        </w:rPr>
        <w:t xml:space="preserve">4 </w:t>
      </w:r>
      <w:r>
        <w:rPr>
          <w:rFonts w:hint="eastAsia" w:ascii="Times New Roman" w:hAnsi="Times New Roman" w:eastAsia="仿宋_GB2312" w:cs="仿宋"/>
          <w:sz w:val="32"/>
          <w:szCs w:val="32"/>
        </w:rPr>
        <w:t>年11月</w:t>
      </w:r>
      <w:r>
        <w:rPr>
          <w:rFonts w:ascii="Times New Roman" w:hAnsi="Times New Roman" w:eastAsia="仿宋_GB2312" w:cs="仿宋"/>
          <w:sz w:val="32"/>
          <w:szCs w:val="32"/>
        </w:rPr>
        <w:t>1</w:t>
      </w:r>
      <w:r>
        <w:rPr>
          <w:rFonts w:hint="eastAsia" w:ascii="Times New Roman" w:hAnsi="Times New Roman" w:eastAsia="仿宋_GB2312" w:cs="仿宋"/>
          <w:sz w:val="32"/>
          <w:szCs w:val="32"/>
        </w:rPr>
        <w:t>8日</w:t>
      </w: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rPr>
          <w:rFonts w:ascii="Times New Roman" w:hAnsi="Times New Roman" w:eastAsia="仿宋_GB2312" w:cs="仿宋"/>
          <w:b/>
          <w:bCs/>
          <w:sz w:val="32"/>
          <w:szCs w:val="32"/>
        </w:rPr>
      </w:pPr>
    </w:p>
    <w:p>
      <w:pPr>
        <w:wordWrap w:val="0"/>
        <w:snapToGrid w:val="0"/>
        <w:spacing w:line="520" w:lineRule="exact"/>
        <w:ind w:left="-199" w:leftChars="-95" w:right="-313" w:rightChars="-149" w:firstLine="199" w:firstLineChars="62"/>
        <w:rPr>
          <w:rFonts w:ascii="Times New Roman" w:hAnsi="Times New Roman" w:eastAsia="仿宋_GB2312" w:cs="仿宋"/>
          <w:sz w:val="32"/>
          <w:szCs w:val="32"/>
        </w:rPr>
      </w:pPr>
      <w:r>
        <w:rPr>
          <w:rFonts w:hint="eastAsia" w:ascii="宋体" w:cs="宋体"/>
          <w:b/>
          <w:bCs/>
          <w:sz w:val="32"/>
          <w:szCs w:val="32"/>
        </w:rPr>
        <w:t>（市场监督管理部门将依法向社会进行公示本行政处罚信息）</w:t>
      </w:r>
      <w:r>
        <w:rPr>
          <w:rFonts w:ascii="宋体" w:cs="宋体"/>
          <w:b/>
          <w:bCs/>
          <w:sz w:val="32"/>
          <w:szCs w:val="32"/>
        </w:rPr>
        <w:t xml:space="preserve">  </w:t>
      </w:r>
      <w:r>
        <w:rPr>
          <w:rFonts w:ascii="宋体" w:cs="宋体"/>
          <w:sz w:val="32"/>
          <w:szCs w:val="32"/>
        </w:rPr>
        <w:t xml:space="preserve"> </w:t>
      </w:r>
      <w:r>
        <w:rPr>
          <w:rFonts w:ascii="Times New Roman" w:hAnsi="Times New Roman" w:eastAsia="仿宋_GB2312" w:cs="仿宋"/>
          <w:sz w:val="32"/>
          <w:szCs w:val="32"/>
        </w:rPr>
        <w:t xml:space="preserve"> </w:t>
      </w:r>
    </w:p>
    <w:p>
      <w:pPr>
        <w:wordWrap w:val="0"/>
        <w:spacing w:line="520" w:lineRule="exact"/>
        <w:rPr>
          <w:rFonts w:ascii="Times New Roman" w:hAnsi="Times New Roman" w:eastAsia="仿宋_GB2312" w:cs="仿宋"/>
          <w:bCs/>
          <w:sz w:val="32"/>
          <w:szCs w:val="32"/>
        </w:rPr>
      </w:pPr>
      <w:r>
        <w:pict>
          <v:line id="_x0000_s1027" o:spid="_x0000_s1027" o:spt="20" style="position:absolute;left:0pt;margin-left:2.25pt;margin-top:13.55pt;height:0.1pt;width:437.05pt;z-index:251659264;mso-width-relative:page;mso-height-relative:page;" coordsize="21600,21600">
            <v:path arrowok="t"/>
            <v:fill focussize="0,0"/>
            <v:stroke weight="1.25pt"/>
            <v:imagedata o:title=""/>
            <o:lock v:ext="edit"/>
          </v:line>
        </w:pict>
      </w:r>
    </w:p>
    <w:p>
      <w:pPr>
        <w:wordWrap w:val="0"/>
        <w:spacing w:line="520" w:lineRule="exact"/>
        <w:ind w:firstLine="210" w:firstLineChars="100"/>
        <w:rPr>
          <w:rFonts w:ascii="Times New Roman" w:hAnsi="Times New Roman" w:eastAsia="仿宋_GB2312" w:cs="仿宋"/>
          <w:sz w:val="32"/>
          <w:szCs w:val="32"/>
        </w:rPr>
      </w:pPr>
      <w:r>
        <w:pict>
          <v:line id="_x0000_s1026" o:spid="_x0000_s1026" o:spt="20" style="position:absolute;left:0pt;margin-left:0pt;margin-top:1638.35pt;height:0.1pt;width:453.75pt;z-index:251659264;mso-width-relative:page;mso-height-relative:page;" coordsize="21600,21600">
            <v:path arrowok="t"/>
            <v:fill focussize="0,0"/>
            <v:stroke weight="0.737007874015748pt"/>
            <v:imagedata o:title=""/>
            <o:lock v:ext="edit"/>
          </v:line>
        </w:pict>
      </w:r>
      <w:r>
        <w:rPr>
          <w:rFonts w:hint="eastAsia" w:ascii="Times New Roman" w:hAnsi="Times New Roman" w:eastAsia="仿宋_GB2312" w:cs="仿宋"/>
          <w:sz w:val="32"/>
          <w:szCs w:val="32"/>
        </w:rPr>
        <w:t>本文书一式</w:t>
      </w:r>
      <w:r>
        <w:rPr>
          <w:rFonts w:ascii="Times New Roman" w:hAnsi="Times New Roman" w:eastAsia="仿宋_GB2312" w:cs="仿宋"/>
          <w:sz w:val="32"/>
          <w:szCs w:val="32"/>
          <w:u w:val="single"/>
        </w:rPr>
        <w:t xml:space="preserve"> 四 </w:t>
      </w:r>
      <w:r>
        <w:rPr>
          <w:rFonts w:hint="eastAsia" w:ascii="Times New Roman" w:hAnsi="Times New Roman" w:eastAsia="仿宋_GB2312" w:cs="仿宋"/>
          <w:sz w:val="32"/>
          <w:szCs w:val="32"/>
        </w:rPr>
        <w:t>份，</w:t>
      </w:r>
      <w:r>
        <w:rPr>
          <w:rFonts w:ascii="Times New Roman" w:hAnsi="Times New Roman" w:eastAsia="仿宋_GB2312" w:cs="仿宋"/>
          <w:sz w:val="32"/>
          <w:szCs w:val="32"/>
          <w:u w:val="single"/>
        </w:rPr>
        <w:t xml:space="preserve"> 一 </w:t>
      </w:r>
      <w:r>
        <w:rPr>
          <w:rFonts w:hint="eastAsia" w:ascii="Times New Roman" w:hAnsi="Times New Roman" w:eastAsia="仿宋_GB2312" w:cs="仿宋"/>
          <w:sz w:val="32"/>
          <w:szCs w:val="32"/>
        </w:rPr>
        <w:t>份送达，一份归档，</w:t>
      </w:r>
      <w:r>
        <w:rPr>
          <w:rFonts w:ascii="Times New Roman" w:hAnsi="Times New Roman" w:eastAsia="仿宋_GB2312" w:cs="仿宋"/>
          <w:sz w:val="32"/>
          <w:szCs w:val="32"/>
          <w:u w:val="single"/>
        </w:rPr>
        <w:t xml:space="preserve"> 两份备查 </w:t>
      </w:r>
      <w:r>
        <w:rPr>
          <w:rFonts w:hint="eastAsia" w:ascii="Times New Roman" w:hAnsi="Times New Roman" w:eastAsia="仿宋_GB2312" w:cs="仿宋"/>
          <w:sz w:val="32"/>
          <w:szCs w:val="32"/>
        </w:rPr>
        <w:t>。</w:t>
      </w:r>
    </w:p>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sz w:val="28"/>
      </w:rPr>
    </w:pPr>
    <w:r>
      <w:rPr>
        <w:rFonts w:ascii="宋体"/>
        <w:kern w:val="0"/>
        <w:sz w:val="28"/>
        <w:szCs w:val="21"/>
      </w:rPr>
      <w:t xml:space="preserve">- </w:t>
    </w:r>
    <w:r>
      <w:rPr>
        <w:rFonts w:ascii="宋体"/>
        <w:kern w:val="0"/>
        <w:sz w:val="28"/>
        <w:szCs w:val="21"/>
      </w:rPr>
      <w:fldChar w:fldCharType="begin"/>
    </w:r>
    <w:r>
      <w:rPr>
        <w:rFonts w:ascii="宋体"/>
        <w:kern w:val="0"/>
        <w:sz w:val="28"/>
        <w:szCs w:val="21"/>
      </w:rPr>
      <w:instrText xml:space="preserve"> PAGE </w:instrText>
    </w:r>
    <w:r>
      <w:rPr>
        <w:rFonts w:ascii="宋体"/>
        <w:kern w:val="0"/>
        <w:sz w:val="28"/>
        <w:szCs w:val="21"/>
      </w:rPr>
      <w:fldChar w:fldCharType="separate"/>
    </w:r>
    <w:r>
      <w:rPr>
        <w:rFonts w:ascii="宋体"/>
        <w:kern w:val="0"/>
        <w:sz w:val="28"/>
        <w:szCs w:val="21"/>
      </w:rPr>
      <w:t>5</w:t>
    </w:r>
    <w:r>
      <w:rPr>
        <w:rFonts w:ascii="宋体"/>
        <w:kern w:val="0"/>
        <w:sz w:val="28"/>
        <w:szCs w:val="21"/>
      </w:rPr>
      <w:fldChar w:fldCharType="end"/>
    </w:r>
    <w:r>
      <w:rPr>
        <w:rFonts w:ascii="宋体"/>
        <w:kern w:val="0"/>
        <w:sz w:val="28"/>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sz w:val="28"/>
      </w:rPr>
    </w:pPr>
    <w:r>
      <w:rPr>
        <w:sz w:val="28"/>
      </w:rPr>
      <w:t xml:space="preserve">  </w:t>
    </w: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w:t>
    </w:r>
    <w:r>
      <w:rPr>
        <w:rFonts w:ascii="宋体"/>
        <w:sz w:val="28"/>
      </w:rPr>
      <w:fldChar w:fldCharType="end"/>
    </w:r>
    <w:r>
      <w:rPr>
        <w:rFonts w:asci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docVars>
    <w:docVar w:name="commondata" w:val="eyJoZGlkIjoiZjEzYjkwMjQwMzYwYmM5YjgzODc2YTI3NTM5MGUxM2EifQ=="/>
    <w:docVar w:name="KSO_WPS_MARK_KEY" w:val="168fe735-02c3-487c-ad56-37cb76a3526c"/>
  </w:docVars>
  <w:rsids>
    <w:rsidRoot w:val="00E7137B"/>
    <w:rsid w:val="00091ADE"/>
    <w:rsid w:val="001620FB"/>
    <w:rsid w:val="003D4ADC"/>
    <w:rsid w:val="0045490C"/>
    <w:rsid w:val="00464DA4"/>
    <w:rsid w:val="00946C30"/>
    <w:rsid w:val="00A8048D"/>
    <w:rsid w:val="00BC203F"/>
    <w:rsid w:val="00D819EE"/>
    <w:rsid w:val="00E7137B"/>
    <w:rsid w:val="00F15E31"/>
    <w:rsid w:val="1E9223BF"/>
    <w:rsid w:val="25336ECD"/>
    <w:rsid w:val="5F4B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qFormat/>
    <w:uiPriority w:val="0"/>
    <w:pPr>
      <w:ind w:left="2500" w:leftChars="2500"/>
    </w:pPr>
    <w:rPr>
      <w:rFonts w:ascii="Times New Roman" w:hAnsi="Times New Roman"/>
      <w:sz w:val="24"/>
    </w:rPr>
  </w:style>
  <w:style w:type="paragraph" w:styleId="6">
    <w:name w:val="Balloon Text"/>
    <w:basedOn w:val="1"/>
    <w:qFormat/>
    <w:uiPriority w:val="0"/>
    <w:rPr>
      <w:rFonts w:ascii="Times New Roman" w:hAnsi="Times New Roman"/>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11">
    <w:name w:val="Header Char"/>
    <w:qFormat/>
    <w:uiPriority w:val="0"/>
    <w:rPr>
      <w:kern w:val="2"/>
      <w:sz w:val="18"/>
    </w:rPr>
  </w:style>
  <w:style w:type="character" w:customStyle="1" w:styleId="12">
    <w:name w:val="Date Char"/>
    <w:qFormat/>
    <w:uiPriority w:val="0"/>
    <w:rPr>
      <w:kern w:val="2"/>
      <w:sz w:val="24"/>
    </w:rPr>
  </w:style>
  <w:style w:type="character" w:customStyle="1" w:styleId="13">
    <w:name w:val="ca-5"/>
    <w:basedOn w:val="9"/>
    <w:qFormat/>
    <w:uiPriority w:val="0"/>
    <w:rPr>
      <w:rFonts w:cs="Times New Roman"/>
    </w:rPr>
  </w:style>
  <w:style w:type="character" w:customStyle="1" w:styleId="14">
    <w:name w:val="ca-6"/>
    <w:basedOn w:val="9"/>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2116</Words>
  <Characters>2309</Characters>
  <Lines>19</Lines>
  <Paragraphs>5</Paragraphs>
  <TotalTime>291</TotalTime>
  <ScaleCrop>false</ScaleCrop>
  <LinksUpToDate>false</LinksUpToDate>
  <CharactersWithSpaces>2667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2016-06-03T03:42:00Z</dcterms:created>
  <dc:creator>bgs</dc:creator>
  <cp:lastModifiedBy>yuansongyan</cp:lastModifiedBy>
  <cp:lastPrinted>2024-07-24T07:22:00Z</cp:lastPrinted>
  <dcterms:modified xsi:type="dcterms:W3CDTF">2024-11-25T06:46:30Z</dcterms:modified>
  <dc:title>秦皇岛市工商行政管理局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889439F2C61D40C5B98ED36A9ACF91B9_12</vt:lpwstr>
  </property>
</Properties>
</file>