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1020</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秦皇岛经济技术开发区易慧超市</w:t>
      </w:r>
      <w:r>
        <w:rPr>
          <w:rFonts w:hint="eastAsia" w:ascii="仿宋" w:hAnsi="仿宋" w:eastAsia="仿宋" w:cs="??_GB2312"/>
          <w:sz w:val="32"/>
          <w:szCs w:val="32"/>
          <w:u w:val="none"/>
        </w:rPr>
        <w:t>；</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u w:val="none"/>
        </w:rPr>
        <w:t>主体资格证照名称：</w:t>
      </w:r>
      <w:r>
        <w:rPr>
          <w:rFonts w:hint="eastAsia" w:ascii="仿宋" w:hAnsi="仿宋" w:eastAsia="仿宋" w:cs="??_GB2312"/>
          <w:sz w:val="32"/>
          <w:szCs w:val="32"/>
          <w:u w:val="none"/>
          <w:lang w:eastAsia="zh-CN"/>
        </w:rPr>
        <w:t>营业执照；</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kern w:val="1"/>
          <w:sz w:val="32"/>
          <w:szCs w:val="32"/>
          <w:u w:val="none"/>
        </w:rPr>
      </w:pPr>
      <w:r>
        <w:rPr>
          <w:rFonts w:hint="eastAsia" w:ascii="仿宋" w:hAnsi="仿宋" w:eastAsia="仿宋" w:cs="??_GB2312"/>
          <w:sz w:val="32"/>
          <w:szCs w:val="32"/>
          <w:u w:val="none"/>
        </w:rPr>
        <w:t>统一社会信用代码：</w:t>
      </w:r>
      <w:r>
        <w:rPr>
          <w:rFonts w:hint="eastAsia" w:ascii="仿宋" w:hAnsi="仿宋" w:eastAsia="仿宋" w:cs="??_GB2312"/>
          <w:sz w:val="32"/>
          <w:szCs w:val="32"/>
          <w:u w:val="none"/>
          <w:lang w:val="en-US" w:eastAsia="zh-CN"/>
        </w:rPr>
        <w:t>92130301MA0BRY1Y13</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p>
    <w:p>
      <w:pPr>
        <w:spacing w:line="500" w:lineRule="exact"/>
        <w:ind w:left="960" w:hanging="960" w:hangingChars="300"/>
        <w:rPr>
          <w:rFonts w:ascii="仿宋" w:hAnsi="仿宋" w:eastAsia="仿宋" w:cs="Mongolian Baiti"/>
          <w:kern w:val="1"/>
          <w:sz w:val="32"/>
          <w:szCs w:val="32"/>
          <w:u w:val="none"/>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秦皇岛开发区孟营二区16-1-5号（车库）</w:t>
      </w:r>
      <w:r>
        <w:rPr>
          <w:rFonts w:hint="eastAsia" w:ascii="仿宋" w:hAnsi="仿宋" w:eastAsia="仿宋" w:cs="??_GB2312"/>
          <w:sz w:val="32"/>
          <w:szCs w:val="32"/>
          <w:u w:val="none"/>
        </w:rPr>
        <w:t>；</w:t>
      </w:r>
      <w:r>
        <w:rPr>
          <w:rFonts w:ascii="仿宋" w:hAnsi="仿宋" w:eastAsia="仿宋" w:cs="Mongolian Baiti"/>
          <w:bCs/>
          <w:kern w:val="1"/>
          <w:sz w:val="32"/>
          <w:szCs w:val="32"/>
          <w:u w:val="none"/>
        </w:rPr>
        <w:t xml:space="preserve">                                               </w:t>
      </w:r>
    </w:p>
    <w:p>
      <w:pPr>
        <w:spacing w:line="500" w:lineRule="exact"/>
        <w:rPr>
          <w:rFonts w:ascii="仿宋" w:hAnsi="仿宋" w:eastAsia="仿宋" w:cs="Mongolian Baiti"/>
          <w:kern w:val="1"/>
          <w:sz w:val="32"/>
          <w:szCs w:val="32"/>
          <w:u w:val="none"/>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刘艳雯</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spacing w:val="-26"/>
          <w:kern w:val="1"/>
          <w:sz w:val="32"/>
          <w:szCs w:val="32"/>
          <w:u w:val="none"/>
        </w:rPr>
        <w:t>身份证号码：</w:t>
      </w:r>
      <w:r>
        <w:rPr>
          <w:rFonts w:hint="eastAsia" w:ascii="仿宋" w:hAnsi="仿宋" w:eastAsia="仿宋" w:cs="宋体"/>
          <w:spacing w:val="-26"/>
          <w:kern w:val="1"/>
          <w:sz w:val="32"/>
          <w:szCs w:val="32"/>
          <w:u w:val="none"/>
          <w:lang w:val="en-US" w:eastAsia="zh-CN"/>
        </w:rPr>
        <w:t>13032119**********</w:t>
      </w:r>
      <w:bookmarkStart w:id="0" w:name="_GoBack"/>
      <w:bookmarkEnd w:id="0"/>
      <w:r>
        <w:rPr>
          <w:rFonts w:hint="eastAsia" w:ascii="仿宋" w:hAnsi="仿宋" w:eastAsia="仿宋" w:cs="仿宋"/>
          <w:spacing w:val="-26"/>
          <w:kern w:val="1"/>
          <w:sz w:val="32"/>
          <w:szCs w:val="32"/>
          <w:u w:val="none"/>
          <w:lang w:eastAsia="zh-CN"/>
        </w:rPr>
        <w:t>。</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20</w:t>
      </w:r>
      <w:r>
        <w:rPr>
          <w:rFonts w:hint="eastAsia" w:ascii="仿宋" w:hAnsi="仿宋" w:eastAsia="仿宋" w:cs="仿宋"/>
          <w:bCs/>
          <w:sz w:val="32"/>
          <w:szCs w:val="32"/>
        </w:rPr>
        <w:t>日</w:t>
      </w:r>
      <w:r>
        <w:rPr>
          <w:rFonts w:hint="eastAsia" w:ascii="仿宋" w:hAnsi="仿宋" w:eastAsia="仿宋" w:cs="仿宋"/>
          <w:bCs/>
          <w:sz w:val="32"/>
          <w:szCs w:val="32"/>
          <w:lang w:eastAsia="zh-CN"/>
        </w:rPr>
        <w:t>，</w:t>
      </w:r>
      <w:r>
        <w:rPr>
          <w:rFonts w:hint="eastAsia" w:ascii="仿宋" w:hAnsi="仿宋" w:eastAsia="仿宋" w:cs="仿宋"/>
          <w:bCs/>
          <w:sz w:val="32"/>
          <w:szCs w:val="32"/>
        </w:rPr>
        <w:t>本局由“国家食品安全抽样检验信息系统”平台接到检验报告（№:CG2024072002）后，指派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w:t>
      </w:r>
      <w:r>
        <w:rPr>
          <w:rFonts w:hint="eastAsia" w:ascii="仿宋" w:hAnsi="仿宋" w:eastAsia="仿宋" w:cs="仿宋"/>
          <w:bCs/>
          <w:sz w:val="32"/>
          <w:szCs w:val="32"/>
          <w:lang w:val="en-US" w:eastAsia="zh-CN"/>
        </w:rPr>
        <w:t>以及食品安全抽样检验结果通知书</w:t>
      </w:r>
      <w:r>
        <w:rPr>
          <w:rFonts w:hint="eastAsia" w:ascii="仿宋" w:hAnsi="仿宋" w:eastAsia="仿宋" w:cs="仿宋"/>
          <w:bCs/>
          <w:sz w:val="32"/>
          <w:szCs w:val="32"/>
        </w:rPr>
        <w:t>并对其经营场所进行了现场检查，</w:t>
      </w:r>
      <w:r>
        <w:rPr>
          <w:rFonts w:hint="eastAsia" w:ascii="仿宋" w:hAnsi="仿宋" w:eastAsia="仿宋" w:cs="仿宋"/>
          <w:bCs/>
          <w:sz w:val="32"/>
          <w:szCs w:val="32"/>
          <w:lang w:val="en-US" w:eastAsia="zh-CN"/>
        </w:rPr>
        <w:t>现场负责人蒋慧</w:t>
      </w:r>
      <w:r>
        <w:rPr>
          <w:rFonts w:hint="eastAsia" w:ascii="仿宋" w:hAnsi="仿宋" w:eastAsia="仿宋" w:cs="仿宋"/>
          <w:bCs/>
          <w:sz w:val="32"/>
          <w:szCs w:val="32"/>
        </w:rPr>
        <w:t>签收了上述检验报告并提供了当事人营业执照等相关的资料。当事人对上述检验报告及其检验结论予以认可，在规定的期限内未提出异议以及复检申请。为进一步调查案情，经分局部门负责人批准，本局于202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经查</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2024年7月24日，秦皇岛市市场监督管理局经济技术开发区分局委托河北晨光检测技术服务有限公司对当事人经营的“芒果”（购进日期：2024-07-20，被抽样单位名称：秦皇岛经济技术开发区易慧超市，标称生产者名称：/ ，联系电话：13313334417，样品数量：3kg，备样数量：1.5kg；抽样单编号：XBJ24130371149835673。）进行了食品安全监督抽检，2024年8月17日出具了检验报告</w:t>
      </w:r>
      <w:r>
        <w:rPr>
          <w:rFonts w:hint="eastAsia" w:ascii="仿宋" w:hAnsi="仿宋" w:eastAsia="仿宋" w:cs="仿宋"/>
          <w:bCs/>
          <w:sz w:val="32"/>
          <w:szCs w:val="32"/>
        </w:rPr>
        <w:t>（№: CG2024072002）</w:t>
      </w:r>
      <w:r>
        <w:rPr>
          <w:rFonts w:hint="eastAsia" w:ascii="仿宋" w:hAnsi="仿宋" w:eastAsia="仿宋" w:cs="仿宋"/>
          <w:bCs/>
          <w:sz w:val="32"/>
          <w:szCs w:val="32"/>
          <w:lang w:eastAsia="zh-CN"/>
        </w:rPr>
        <w:t>；检验项目：</w:t>
      </w:r>
      <w:r>
        <w:rPr>
          <w:rFonts w:hint="eastAsia" w:ascii="仿宋" w:hAnsi="仿宋" w:eastAsia="仿宋" w:cs="仿宋"/>
          <w:bCs/>
          <w:sz w:val="32"/>
          <w:szCs w:val="32"/>
          <w:lang w:val="en-US" w:eastAsia="zh-CN"/>
        </w:rPr>
        <w:t>吡唑醚菌酯</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mg/kg，</w:t>
      </w:r>
      <w:r>
        <w:rPr>
          <w:rFonts w:hint="eastAsia" w:ascii="仿宋" w:hAnsi="仿宋" w:eastAsia="仿宋" w:cs="仿宋"/>
          <w:bCs/>
          <w:sz w:val="32"/>
          <w:szCs w:val="32"/>
          <w:lang w:eastAsia="zh-CN"/>
        </w:rPr>
        <w:t>标准指标：≤</w:t>
      </w:r>
      <w:r>
        <w:rPr>
          <w:rFonts w:hint="eastAsia" w:ascii="仿宋" w:hAnsi="仿宋" w:eastAsia="仿宋" w:cs="仿宋"/>
          <w:bCs/>
          <w:sz w:val="32"/>
          <w:szCs w:val="32"/>
          <w:lang w:val="en-US" w:eastAsia="zh-CN"/>
        </w:rPr>
        <w:t>0.05</w:t>
      </w:r>
      <w:r>
        <w:rPr>
          <w:rFonts w:hint="eastAsia" w:ascii="仿宋" w:hAnsi="仿宋" w:eastAsia="仿宋" w:cs="仿宋"/>
          <w:bCs/>
          <w:sz w:val="32"/>
          <w:szCs w:val="32"/>
          <w:lang w:eastAsia="zh-CN"/>
        </w:rPr>
        <w:t>，实测值：</w:t>
      </w:r>
      <w:r>
        <w:rPr>
          <w:rFonts w:hint="eastAsia" w:ascii="仿宋" w:hAnsi="仿宋" w:eastAsia="仿宋" w:cs="仿宋"/>
          <w:bCs/>
          <w:sz w:val="32"/>
          <w:szCs w:val="32"/>
          <w:lang w:val="en-US" w:eastAsia="zh-CN"/>
        </w:rPr>
        <w:t>0.23，单项判定：不合格，检验依据：GB/T 20769-2008；检验结论：经抽样检验，吡唑醚菌酯项目不符合 GB 2763-2021《食品安全国家标准 食品中农药最大残留限量》要求，检验结论为不合格。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bCs/>
          <w:sz w:val="32"/>
          <w:szCs w:val="32"/>
          <w:lang w:val="en-US" w:eastAsia="zh-CN"/>
        </w:rPr>
        <w:t>2024年7月19日，海港区小奥果品经营店由高碑店市义琼水果批发部购进该批次“芒果”数量：6件（12公斤/件）后，于2024年7月20日向当事人销售该批次“芒果”数量：1件（12公斤/件），销售价格：10元/公斤。</w:t>
      </w:r>
      <w:r>
        <w:rPr>
          <w:rFonts w:hint="eastAsia" w:ascii="仿宋" w:hAnsi="仿宋" w:eastAsia="仿宋" w:cs="仿宋"/>
          <w:sz w:val="32"/>
          <w:szCs w:val="32"/>
          <w:u w:val="none"/>
          <w:lang w:eastAsia="zh-CN"/>
        </w:rPr>
        <w:t>截止到202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20</w:t>
      </w:r>
      <w:r>
        <w:rPr>
          <w:rFonts w:hint="eastAsia" w:ascii="仿宋" w:hAnsi="仿宋" w:eastAsia="仿宋" w:cs="仿宋"/>
          <w:sz w:val="32"/>
          <w:szCs w:val="32"/>
          <w:u w:val="none"/>
          <w:lang w:eastAsia="zh-CN"/>
        </w:rPr>
        <w:t>日被查，当事人所经营的上述食品已经全部售出，无库存，</w:t>
      </w:r>
      <w:r>
        <w:rPr>
          <w:rFonts w:hint="eastAsia" w:ascii="仿宋" w:hAnsi="仿宋" w:eastAsia="仿宋" w:cs="仿宋"/>
          <w:sz w:val="32"/>
          <w:szCs w:val="32"/>
          <w:u w:val="none"/>
          <w:lang w:val="en-US" w:eastAsia="zh-CN"/>
        </w:rPr>
        <w:t>销售价格：12元/公斤</w:t>
      </w: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20</w:t>
      </w:r>
      <w:r>
        <w:rPr>
          <w:rFonts w:hint="eastAsia" w:ascii="仿宋" w:hAnsi="仿宋" w:eastAsia="仿宋" w:cs="仿宋"/>
          <w:sz w:val="32"/>
          <w:szCs w:val="32"/>
          <w:u w:val="none"/>
          <w:lang w:eastAsia="zh-CN"/>
        </w:rPr>
        <w:t>日，当事人在经营场所进行了食品公告召回，由于该批次食品销售时间过长等原因，当事人所售出的上述食品未能召回。经计算，当事人违法经营上述食品的货值金额：</w:t>
      </w:r>
      <w:r>
        <w:rPr>
          <w:rFonts w:hint="eastAsia" w:ascii="仿宋" w:hAnsi="仿宋" w:eastAsia="仿宋" w:cs="仿宋"/>
          <w:sz w:val="32"/>
          <w:szCs w:val="32"/>
          <w:u w:val="none"/>
          <w:lang w:val="en-US" w:eastAsia="zh-CN"/>
        </w:rPr>
        <w:t>144</w:t>
      </w:r>
      <w:r>
        <w:rPr>
          <w:rFonts w:hint="eastAsia" w:ascii="仿宋" w:hAnsi="仿宋" w:eastAsia="仿宋" w:cs="仿宋"/>
          <w:sz w:val="32"/>
          <w:szCs w:val="32"/>
          <w:u w:val="none"/>
          <w:lang w:eastAsia="zh-CN"/>
        </w:rPr>
        <w:t>元，违法所得：</w:t>
      </w:r>
      <w:r>
        <w:rPr>
          <w:rFonts w:hint="eastAsia" w:ascii="仿宋" w:hAnsi="仿宋" w:eastAsia="仿宋" w:cs="仿宋"/>
          <w:sz w:val="32"/>
          <w:szCs w:val="32"/>
          <w:u w:val="none"/>
          <w:lang w:val="en-US" w:eastAsia="zh-CN"/>
        </w:rPr>
        <w:t>144</w:t>
      </w:r>
      <w:r>
        <w:rPr>
          <w:rFonts w:hint="eastAsia" w:ascii="仿宋" w:hAnsi="仿宋" w:eastAsia="仿宋" w:cs="仿宋"/>
          <w:sz w:val="32"/>
          <w:szCs w:val="32"/>
          <w:u w:val="none"/>
          <w:lang w:eastAsia="zh-CN"/>
        </w:rPr>
        <w:t>元。当事人提供了所经营的该批次“</w:t>
      </w:r>
      <w:r>
        <w:rPr>
          <w:rFonts w:hint="eastAsia" w:ascii="仿宋" w:hAnsi="仿宋" w:eastAsia="仿宋" w:cs="仿宋"/>
          <w:bCs/>
          <w:sz w:val="32"/>
          <w:szCs w:val="32"/>
          <w:lang w:val="en-US" w:eastAsia="zh-CN"/>
        </w:rPr>
        <w:t>芒果</w:t>
      </w:r>
      <w:r>
        <w:rPr>
          <w:rFonts w:hint="eastAsia" w:ascii="仿宋" w:hAnsi="仿宋" w:eastAsia="仿宋" w:cs="仿宋"/>
          <w:sz w:val="32"/>
          <w:szCs w:val="32"/>
          <w:u w:val="none"/>
          <w:lang w:eastAsia="zh-CN"/>
        </w:rPr>
        <w:t>”的供货者营业执照、销售凭证以及</w:t>
      </w:r>
      <w:r>
        <w:rPr>
          <w:rFonts w:hint="eastAsia" w:ascii="仿宋" w:hAnsi="仿宋" w:eastAsia="仿宋" w:cs="仿宋"/>
          <w:sz w:val="32"/>
          <w:szCs w:val="32"/>
          <w:u w:val="none"/>
          <w:lang w:val="en-US" w:eastAsia="zh-CN"/>
        </w:rPr>
        <w:t>检验合格证明</w:t>
      </w:r>
      <w:r>
        <w:rPr>
          <w:rFonts w:hint="eastAsia" w:ascii="仿宋" w:hAnsi="仿宋" w:eastAsia="仿宋" w:cs="仿宋"/>
          <w:sz w:val="32"/>
          <w:szCs w:val="32"/>
          <w:u w:val="none"/>
          <w:lang w:eastAsia="zh-CN"/>
        </w:rPr>
        <w:t>等证明资料。当事人在开展经营活动中履行了进货查验义务，当事人有充分证据证明其不知道所采购的该批次“</w:t>
      </w:r>
      <w:r>
        <w:rPr>
          <w:rFonts w:hint="eastAsia" w:ascii="仿宋" w:hAnsi="仿宋" w:eastAsia="仿宋" w:cs="仿宋"/>
          <w:bCs/>
          <w:sz w:val="32"/>
          <w:szCs w:val="32"/>
          <w:lang w:val="en-US" w:eastAsia="zh-CN"/>
        </w:rPr>
        <w:t>芒果</w:t>
      </w:r>
      <w:r>
        <w:rPr>
          <w:rFonts w:hint="eastAsia" w:ascii="仿宋" w:hAnsi="仿宋" w:eastAsia="仿宋" w:cs="仿宋"/>
          <w:sz w:val="32"/>
          <w:szCs w:val="32"/>
          <w:u w:val="none"/>
          <w:lang w:eastAsia="zh-CN"/>
        </w:rPr>
        <w:t xml:space="preserve">”不符合食品安全标准，并能如实说明其进货来源。在调查期间未对当事人采取行政强制措施。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ind w:firstLine="640" w:firstLineChars="200"/>
        <w:rPr>
          <w:rFonts w:hint="eastAsia" w:ascii="仿宋" w:hAnsi="仿宋" w:eastAsia="仿宋" w:cs="宋体"/>
          <w:color w:val="000000" w:themeColor="text1"/>
          <w:sz w:val="32"/>
          <w:szCs w:val="32"/>
          <w:u w:val="none"/>
          <w:lang w:val="en-US" w:eastAsia="zh-CN"/>
        </w:rPr>
      </w:pPr>
      <w:r>
        <w:rPr>
          <w:rFonts w:hint="eastAsia" w:ascii="仿宋" w:hAnsi="仿宋" w:eastAsia="仿宋" w:cs="宋体"/>
          <w:color w:val="000000" w:themeColor="text1"/>
          <w:sz w:val="32"/>
          <w:szCs w:val="32"/>
          <w:u w:val="none"/>
          <w:lang w:val="en-US" w:eastAsia="zh-CN"/>
        </w:rPr>
        <w:t xml:space="preserve">1.当事人经营者刘艳雯签字盖章确认的当事人营业执照、食品经营许可证、经营者刘艳雯身份证身份证复印件各一份；证明了当事人的基本信息以及经营者的身份信息等相关事项。                                               </w:t>
      </w:r>
    </w:p>
    <w:p>
      <w:pPr>
        <w:spacing w:line="520" w:lineRule="exact"/>
        <w:ind w:firstLine="640" w:firstLineChars="200"/>
        <w:rPr>
          <w:rFonts w:hint="eastAsia" w:ascii="仿宋" w:hAnsi="仿宋" w:eastAsia="仿宋" w:cs="宋体"/>
          <w:color w:val="000000" w:themeColor="text1"/>
          <w:sz w:val="32"/>
          <w:szCs w:val="32"/>
          <w:u w:val="none"/>
          <w:lang w:val="en-US" w:eastAsia="zh-CN"/>
        </w:rPr>
      </w:pPr>
      <w:r>
        <w:rPr>
          <w:rFonts w:hint="eastAsia" w:ascii="仿宋" w:hAnsi="仿宋" w:eastAsia="仿宋" w:cs="宋体"/>
          <w:color w:val="000000" w:themeColor="text1"/>
          <w:sz w:val="32"/>
          <w:szCs w:val="32"/>
          <w:u w:val="none"/>
          <w:lang w:val="en-US" w:eastAsia="zh-CN"/>
        </w:rPr>
        <w:t xml:space="preserve">2.对当事人经营场所检查笔录一份、现场检查照片打印件六份；对经营者刘艳雯所做询问笔录一份；当事人所提供的食品召回公告、关于申请免于行政处罚的情况说明、整改报告各一份；现场负责人蒋慧身份证复印件一份；证明了当事人开展经营活动以及经营不符合食品安全标准的食品的违法事实等相关事项。                                   </w:t>
      </w:r>
    </w:p>
    <w:p>
      <w:pPr>
        <w:spacing w:line="520" w:lineRule="exact"/>
        <w:ind w:firstLine="640" w:firstLineChars="200"/>
        <w:rPr>
          <w:rFonts w:hint="eastAsia" w:ascii="仿宋" w:hAnsi="仿宋" w:eastAsia="仿宋" w:cs="宋体"/>
          <w:color w:val="000000" w:themeColor="text1"/>
          <w:sz w:val="32"/>
          <w:szCs w:val="32"/>
          <w:u w:val="none"/>
          <w:lang w:val="en-US" w:eastAsia="zh-CN"/>
        </w:rPr>
      </w:pPr>
      <w:r>
        <w:rPr>
          <w:rFonts w:hint="eastAsia" w:ascii="仿宋" w:hAnsi="仿宋" w:eastAsia="仿宋" w:cs="宋体"/>
          <w:color w:val="000000" w:themeColor="text1"/>
          <w:sz w:val="32"/>
          <w:szCs w:val="32"/>
          <w:u w:val="none"/>
          <w:lang w:val="en-US" w:eastAsia="zh-CN"/>
        </w:rPr>
        <w:t xml:space="preserve">3.对当事人下达的国家食品安全抽样检验告知书、食品安全抽样检验抽样单（食用农产品）、食品安全抽样检验结果通知书、检验报告各一份；证明了对当事人所经营的该批次“芒果”进行食品安全监督抽检以及该批次“芒果”为不符合食品安全标准的食品的真实性等相关事项。                                           </w:t>
      </w:r>
    </w:p>
    <w:p>
      <w:pPr>
        <w:spacing w:line="520" w:lineRule="exact"/>
        <w:ind w:firstLine="640" w:firstLineChars="200"/>
        <w:rPr>
          <w:rFonts w:hint="eastAsia" w:ascii="仿宋" w:hAnsi="仿宋" w:eastAsia="仿宋" w:cs="宋体"/>
          <w:color w:val="000000" w:themeColor="text1"/>
          <w:sz w:val="32"/>
          <w:szCs w:val="32"/>
          <w:u w:val="none"/>
        </w:rPr>
      </w:pPr>
      <w:r>
        <w:rPr>
          <w:rFonts w:hint="eastAsia" w:ascii="仿宋" w:hAnsi="仿宋" w:eastAsia="仿宋" w:cs="宋体"/>
          <w:color w:val="000000" w:themeColor="text1"/>
          <w:sz w:val="32"/>
          <w:szCs w:val="32"/>
          <w:u w:val="none"/>
          <w:lang w:val="en-US" w:eastAsia="zh-CN"/>
        </w:rPr>
        <w:t>4.当事人经营者刘艳雯签字盖章提供的该批次“芒果”的供货者营业执照、销售凭证、检验合格证明复印件各一份；该批次“芒果”的供货者微信订货截图打印件两份；该证明了当事人履行了进货查验义务，有充分证据证明其不知道所采购的该批次“芒果”不符合食品安全标准，并能如实说明其进货来源等相关事项。</w:t>
      </w:r>
      <w:r>
        <w:rPr>
          <w:rFonts w:hint="eastAsia" w:ascii="仿宋" w:hAnsi="仿宋" w:eastAsia="仿宋" w:cs="宋体"/>
          <w:color w:val="000000" w:themeColor="text1"/>
          <w:sz w:val="32"/>
          <w:szCs w:val="32"/>
          <w:u w:val="none"/>
        </w:rPr>
        <w:t xml:space="preserve">                         </w:t>
      </w:r>
    </w:p>
    <w:p>
      <w:pPr>
        <w:spacing w:line="520" w:lineRule="exact"/>
        <w:ind w:firstLine="640" w:firstLineChars="200"/>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9</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9</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1020</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当事人的上述行为违反了《中华人民共和国食品安全法》第三十四条第（二）项：“禁止生产经营下列食品、食品添加剂、食品相关产品： （二）致病性微生物，农药残留、兽药残留、生物毒素、重金属等污染物质以及其他危害人体健康的物质含量超过食品安全标准限量的食品、食品添加剂、食品相关产品；”的规定，属于经营不符合食品安全标准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不符合食品安全标准的食品的违法行为违反了《中华人民共和国食品安全法》第三十四条第（二）项的规定，依据《中华人民共和国食品安全法》第一百二十四条第一款第（一）项的规定应予以行政处罚。</w:t>
      </w:r>
      <w:r>
        <w:rPr>
          <w:rFonts w:hint="eastAsia" w:ascii="仿宋" w:hAnsi="仿宋" w:eastAsia="仿宋" w:cs="楷体_GB2312"/>
          <w:bCs/>
          <w:color w:val="000000"/>
          <w:sz w:val="32"/>
          <w:szCs w:val="32"/>
          <w:u w:val="none"/>
          <w:lang w:eastAsia="zh-CN"/>
        </w:rPr>
        <w:t>鉴于</w:t>
      </w:r>
      <w:r>
        <w:rPr>
          <w:rFonts w:hint="eastAsia" w:ascii="仿宋" w:hAnsi="仿宋" w:eastAsia="仿宋" w:cs="楷体_GB2312"/>
          <w:bCs/>
          <w:color w:val="000000"/>
          <w:sz w:val="32"/>
          <w:szCs w:val="32"/>
          <w:u w:val="none"/>
        </w:rPr>
        <w:t>当事人在采购该批次“</w:t>
      </w:r>
      <w:r>
        <w:rPr>
          <w:rFonts w:hint="eastAsia" w:ascii="仿宋" w:hAnsi="仿宋" w:eastAsia="仿宋" w:cs="仿宋"/>
          <w:sz w:val="32"/>
          <w:szCs w:val="32"/>
          <w:u w:val="none"/>
          <w:lang w:val="en-US" w:eastAsia="zh-CN"/>
        </w:rPr>
        <w:t>芒果</w:t>
      </w:r>
      <w:r>
        <w:rPr>
          <w:rFonts w:hint="eastAsia" w:ascii="仿宋" w:hAnsi="仿宋" w:eastAsia="仿宋" w:cs="楷体_GB2312"/>
          <w:bCs/>
          <w:color w:val="000000"/>
          <w:sz w:val="32"/>
          <w:szCs w:val="32"/>
          <w:u w:val="none"/>
        </w:rPr>
        <w:t>”食品时查验了供货者的</w:t>
      </w:r>
      <w:r>
        <w:rPr>
          <w:rFonts w:hint="eastAsia" w:ascii="仿宋" w:hAnsi="仿宋" w:eastAsia="仿宋" w:cs="楷体_GB2312"/>
          <w:bCs/>
          <w:color w:val="000000"/>
          <w:sz w:val="32"/>
          <w:szCs w:val="32"/>
          <w:u w:val="none"/>
          <w:lang w:eastAsia="zh-CN"/>
        </w:rPr>
        <w:t>营业执照</w:t>
      </w:r>
      <w:r>
        <w:rPr>
          <w:rFonts w:hint="eastAsia" w:ascii="仿宋" w:hAnsi="仿宋" w:eastAsia="仿宋" w:cs="楷体_GB2312"/>
          <w:bCs/>
          <w:color w:val="000000"/>
          <w:sz w:val="32"/>
          <w:szCs w:val="32"/>
          <w:u w:val="none"/>
        </w:rPr>
        <w:t>、</w:t>
      </w:r>
      <w:r>
        <w:rPr>
          <w:rFonts w:hint="eastAsia" w:ascii="仿宋" w:hAnsi="仿宋" w:eastAsia="仿宋" w:cs="楷体_GB2312"/>
          <w:bCs/>
          <w:color w:val="000000"/>
          <w:sz w:val="32"/>
          <w:szCs w:val="32"/>
          <w:u w:val="none"/>
          <w:lang w:val="en-US" w:eastAsia="zh-CN"/>
        </w:rPr>
        <w:t>供货凭证</w:t>
      </w:r>
      <w:r>
        <w:rPr>
          <w:rFonts w:hint="eastAsia" w:ascii="仿宋" w:hAnsi="仿宋" w:eastAsia="仿宋" w:cs="楷体_GB2312"/>
          <w:bCs/>
          <w:color w:val="000000"/>
          <w:sz w:val="32"/>
          <w:szCs w:val="32"/>
          <w:u w:val="none"/>
        </w:rPr>
        <w:t xml:space="preserve">以及该批次食品的检验合格证明等相关文件，有充分证据证明其不知道所采购的该批次食品不符合食品安全标准，并能如实说明其进货来源，依据《中华人民共和国食品安全法》第一百三十六条的规定，对当事人可以免予处罚。 </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不符合食品安全标准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val="en-US"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w:t>
      </w:r>
      <w:r>
        <w:rPr>
          <w:rFonts w:hint="eastAsia" w:ascii="仿宋" w:hAnsi="仿宋" w:eastAsia="仿宋" w:cs="楷体_GB2312"/>
          <w:color w:val="000000"/>
          <w:sz w:val="32"/>
          <w:szCs w:val="32"/>
          <w:u w:val="none"/>
        </w:rPr>
        <w:t>《中华人民共和国食品安全法》</w:t>
      </w:r>
      <w:r>
        <w:rPr>
          <w:rFonts w:hint="eastAsia" w:ascii="仿宋" w:hAnsi="仿宋" w:eastAsia="仿宋" w:cs="宋体"/>
          <w:sz w:val="32"/>
          <w:szCs w:val="32"/>
          <w:u w:val="none"/>
          <w:lang w:val="en-US" w:eastAsia="zh-CN"/>
        </w:rPr>
        <w:t>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食品集中交易市场内的经营户或者依法取得食品生产许可证照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jc w:val="right"/>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pPr>
        <w:adjustRightInd w:val="0"/>
        <w:snapToGrid w:val="0"/>
        <w:spacing w:line="460" w:lineRule="exact"/>
        <w:ind w:right="640" w:firstLine="4480" w:firstLineChars="1400"/>
        <w:jc w:val="center"/>
        <w:textAlignment w:val="baseline"/>
        <w:rPr>
          <w:rFonts w:hint="eastAsia" w:ascii="仿宋" w:hAnsi="仿宋" w:eastAsia="仿宋" w:cs="宋体"/>
          <w:color w:val="000000" w:themeColor="text1"/>
          <w:sz w:val="32"/>
          <w:szCs w:val="32"/>
          <w:lang w:val="en-US" w:eastAsia="zh-CN"/>
        </w:rPr>
      </w:pPr>
      <w:r>
        <w:rPr>
          <w:rFonts w:hint="eastAsia" w:ascii="仿宋" w:hAnsi="仿宋" w:eastAsia="仿宋" w:cs="宋体"/>
          <w:color w:val="000000" w:themeColor="text1"/>
          <w:sz w:val="32"/>
          <w:szCs w:val="32"/>
          <w:lang w:val="en-US" w:eastAsia="zh-CN"/>
        </w:rPr>
        <w:t>（印章）</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9</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19</w:t>
      </w:r>
      <w:r>
        <w:rPr>
          <w:rFonts w:hint="eastAsia" w:ascii="仿宋" w:hAnsi="仿宋" w:eastAsia="仿宋" w:cs="宋体"/>
          <w:color w:val="000000" w:themeColor="text1"/>
          <w:sz w:val="32"/>
          <w:szCs w:val="32"/>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587" w:right="141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2016291"/>
    <w:rsid w:val="0548762F"/>
    <w:rsid w:val="05E51322"/>
    <w:rsid w:val="07582258"/>
    <w:rsid w:val="097E5D15"/>
    <w:rsid w:val="0AAA48E8"/>
    <w:rsid w:val="0ADD6A6C"/>
    <w:rsid w:val="0B084B61"/>
    <w:rsid w:val="0CF85DDF"/>
    <w:rsid w:val="0D3606B5"/>
    <w:rsid w:val="0D4B051E"/>
    <w:rsid w:val="0D8F0E62"/>
    <w:rsid w:val="0E9E667F"/>
    <w:rsid w:val="0EFE2AE5"/>
    <w:rsid w:val="10A06571"/>
    <w:rsid w:val="10DC33CA"/>
    <w:rsid w:val="12506F1B"/>
    <w:rsid w:val="129E6EF0"/>
    <w:rsid w:val="1326357C"/>
    <w:rsid w:val="145965B8"/>
    <w:rsid w:val="14EB4E26"/>
    <w:rsid w:val="176C7D82"/>
    <w:rsid w:val="189A1867"/>
    <w:rsid w:val="18E17BBB"/>
    <w:rsid w:val="18F14FE3"/>
    <w:rsid w:val="18F54550"/>
    <w:rsid w:val="1B011DB6"/>
    <w:rsid w:val="1C735D4E"/>
    <w:rsid w:val="1D2F0FCA"/>
    <w:rsid w:val="1F251A8E"/>
    <w:rsid w:val="1F342DB1"/>
    <w:rsid w:val="1F4F5879"/>
    <w:rsid w:val="1FCD30FB"/>
    <w:rsid w:val="21584C46"/>
    <w:rsid w:val="21B0159A"/>
    <w:rsid w:val="22885BF9"/>
    <w:rsid w:val="233139A1"/>
    <w:rsid w:val="235A39C0"/>
    <w:rsid w:val="23627A12"/>
    <w:rsid w:val="28D252DE"/>
    <w:rsid w:val="291200DF"/>
    <w:rsid w:val="29310FC7"/>
    <w:rsid w:val="2A3835D1"/>
    <w:rsid w:val="2A9E5BAD"/>
    <w:rsid w:val="2B1028D4"/>
    <w:rsid w:val="2B5F1D03"/>
    <w:rsid w:val="2CE02D8A"/>
    <w:rsid w:val="2E6D3792"/>
    <w:rsid w:val="2EDD57E5"/>
    <w:rsid w:val="2F260132"/>
    <w:rsid w:val="30C419B0"/>
    <w:rsid w:val="30C85944"/>
    <w:rsid w:val="31391305"/>
    <w:rsid w:val="36517812"/>
    <w:rsid w:val="36EF34FF"/>
    <w:rsid w:val="372907BF"/>
    <w:rsid w:val="3739489D"/>
    <w:rsid w:val="38A72FFF"/>
    <w:rsid w:val="38CF1AE5"/>
    <w:rsid w:val="39002A92"/>
    <w:rsid w:val="399F2E5C"/>
    <w:rsid w:val="3D4E01F0"/>
    <w:rsid w:val="3DD376D7"/>
    <w:rsid w:val="3E9F6A9D"/>
    <w:rsid w:val="3ED2798E"/>
    <w:rsid w:val="3ED43706"/>
    <w:rsid w:val="3FF27CAC"/>
    <w:rsid w:val="41B234F8"/>
    <w:rsid w:val="427E645E"/>
    <w:rsid w:val="43592C00"/>
    <w:rsid w:val="44612D2C"/>
    <w:rsid w:val="449000D0"/>
    <w:rsid w:val="45102FBE"/>
    <w:rsid w:val="45BC42A2"/>
    <w:rsid w:val="4711663E"/>
    <w:rsid w:val="47DB5022"/>
    <w:rsid w:val="48F32FE7"/>
    <w:rsid w:val="49C26624"/>
    <w:rsid w:val="4C0A2769"/>
    <w:rsid w:val="4CB50C3F"/>
    <w:rsid w:val="4D0E4C96"/>
    <w:rsid w:val="4F306FED"/>
    <w:rsid w:val="517555E9"/>
    <w:rsid w:val="52CD7C74"/>
    <w:rsid w:val="52E22C40"/>
    <w:rsid w:val="54C945E8"/>
    <w:rsid w:val="558A777C"/>
    <w:rsid w:val="55D2722F"/>
    <w:rsid w:val="55F14EF1"/>
    <w:rsid w:val="57EF4FEC"/>
    <w:rsid w:val="596A6259"/>
    <w:rsid w:val="5A6F262D"/>
    <w:rsid w:val="5A9C0C23"/>
    <w:rsid w:val="5BE752F7"/>
    <w:rsid w:val="5C5869BC"/>
    <w:rsid w:val="5DC80482"/>
    <w:rsid w:val="5DD34530"/>
    <w:rsid w:val="5F9C5F6A"/>
    <w:rsid w:val="5FD90725"/>
    <w:rsid w:val="5FE132A9"/>
    <w:rsid w:val="610052A8"/>
    <w:rsid w:val="62C84A71"/>
    <w:rsid w:val="63345069"/>
    <w:rsid w:val="63384043"/>
    <w:rsid w:val="64067E2C"/>
    <w:rsid w:val="652E4ACF"/>
    <w:rsid w:val="65493C57"/>
    <w:rsid w:val="66F65DC0"/>
    <w:rsid w:val="675853C5"/>
    <w:rsid w:val="68375B27"/>
    <w:rsid w:val="68B00721"/>
    <w:rsid w:val="6905651F"/>
    <w:rsid w:val="6AC1688E"/>
    <w:rsid w:val="6BF55FC2"/>
    <w:rsid w:val="6D4B31B8"/>
    <w:rsid w:val="6E783501"/>
    <w:rsid w:val="6FCF30CF"/>
    <w:rsid w:val="6FE169C0"/>
    <w:rsid w:val="7062016C"/>
    <w:rsid w:val="709D2F56"/>
    <w:rsid w:val="715D2B8F"/>
    <w:rsid w:val="71971C3B"/>
    <w:rsid w:val="71B4761C"/>
    <w:rsid w:val="72372DDF"/>
    <w:rsid w:val="73011F50"/>
    <w:rsid w:val="74A133F0"/>
    <w:rsid w:val="74EA5B80"/>
    <w:rsid w:val="76C001DA"/>
    <w:rsid w:val="77EA751B"/>
    <w:rsid w:val="79D7762B"/>
    <w:rsid w:val="7BE20509"/>
    <w:rsid w:val="7D002C15"/>
    <w:rsid w:val="7D9A64D2"/>
    <w:rsid w:val="7DCE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2623</Words>
  <Characters>2844</Characters>
  <Lines>26</Lines>
  <Paragraphs>7</Paragraphs>
  <TotalTime>2</TotalTime>
  <ScaleCrop>false</ScaleCrop>
  <LinksUpToDate>false</LinksUpToDate>
  <CharactersWithSpaces>3528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2020-11-20T07:09:00Z</cp:lastPrinted>
  <dcterms:modified xsi:type="dcterms:W3CDTF">2024-09-18T06:01:40Z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