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仿宋"/>
          <w:color w:val="000000"/>
          <w:sz w:val="32"/>
          <w:szCs w:val="32"/>
          <w:u w:val="none"/>
        </w:rPr>
        <w:t>处</w:t>
      </w:r>
      <w:r>
        <w:rPr>
          <w:rFonts w:hint="eastAsia" w:ascii="仿宋" w:hAnsi="仿宋" w:eastAsia="仿宋" w:cs="仿宋"/>
          <w:color w:val="000000"/>
          <w:sz w:val="32"/>
          <w:szCs w:val="32"/>
          <w:u w:val="none"/>
          <w:lang w:eastAsia="zh-CN"/>
        </w:rPr>
        <w:t>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1068</w:t>
      </w:r>
      <w:r>
        <w:rPr>
          <w:rFonts w:hint="eastAsia" w:ascii="仿宋" w:hAnsi="仿宋" w:eastAsia="仿宋" w:cs="宋体"/>
          <w:color w:val="auto"/>
          <w:sz w:val="32"/>
          <w:szCs w:val="32"/>
          <w:u w:val="none"/>
        </w:rPr>
        <w:t>号</w:t>
      </w:r>
    </w:p>
    <w:p>
      <w:pPr>
        <w:spacing w:line="240" w:lineRule="auto"/>
        <w:ind w:left="-239" w:leftChars="-114"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当事人：秦皇岛经济技术开发区艾蕲尚日用品店；</w:t>
      </w:r>
    </w:p>
    <w:p>
      <w:pPr>
        <w:spacing w:line="240" w:lineRule="auto"/>
        <w:ind w:left="-239" w:leftChars="-114"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主体资格证照名称：营业执照；                                    </w:t>
      </w:r>
    </w:p>
    <w:p>
      <w:pPr>
        <w:spacing w:line="240" w:lineRule="auto"/>
        <w:ind w:left="-239" w:leftChars="-114"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统一社会信用代码：92130301MA7B8PN40H；                                   </w:t>
      </w:r>
    </w:p>
    <w:p>
      <w:pPr>
        <w:spacing w:line="240" w:lineRule="auto"/>
        <w:ind w:left="-239" w:leftChars="-114"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住所（住址）：秦皇岛市经济技术开发区泰山路378号；                                               </w:t>
      </w:r>
    </w:p>
    <w:p>
      <w:pPr>
        <w:spacing w:line="240" w:lineRule="auto"/>
        <w:ind w:left="-239" w:leftChars="-114"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法定代表人（负责人、经营者）：周翠兰；                                        </w:t>
      </w:r>
    </w:p>
    <w:p>
      <w:pPr>
        <w:spacing w:line="240" w:lineRule="auto"/>
        <w:ind w:left="-239" w:leftChars="-114"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身份证号码：</w:t>
      </w:r>
      <w:r>
        <w:rPr>
          <w:rFonts w:hint="eastAsia" w:ascii="仿宋" w:hAnsi="仿宋" w:eastAsia="仿宋" w:cs="仿宋"/>
          <w:b w:val="0"/>
          <w:bCs w:val="0"/>
          <w:color w:val="auto"/>
          <w:kern w:val="1"/>
          <w:sz w:val="32"/>
          <w:szCs w:val="32"/>
          <w:u w:val="none"/>
          <w:lang w:val="en-US" w:eastAsia="zh-CN"/>
        </w:rPr>
        <w:t>13030219**********</w:t>
      </w:r>
      <w:bookmarkStart w:id="0" w:name="_GoBack"/>
      <w:bookmarkEnd w:id="0"/>
      <w:r>
        <w:rPr>
          <w:rFonts w:hint="eastAsia" w:ascii="仿宋" w:hAnsi="仿宋" w:eastAsia="仿宋" w:cs="仿宋"/>
          <w:sz w:val="32"/>
          <w:szCs w:val="32"/>
          <w:u w:val="none"/>
          <w:lang w:val="en-US" w:eastAsia="zh-CN"/>
        </w:rPr>
        <w:t xml:space="preserve">。                                                                                </w:t>
      </w:r>
    </w:p>
    <w:p>
      <w:pPr>
        <w:spacing w:line="240" w:lineRule="auto"/>
        <w:ind w:left="-239" w:leftChars="-114"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2024年8月16日，本局两名执法人员对当事人位于秦皇岛市经济技术开发区泰山路378号的经营场所进行现场检查时发现，当事人在该处所销售的1盒“中艾国灸蕲艾草本精油”外包装盒有部分破损，该盒化妆品外包装盒标签所标注“净含量”的内容印字脱落，无法显示其净含量的数量。鉴于当事人的上述行为，本局向当事人下达了《责令改正通知书》（秦市监责改通〔2024〕综54号），责令当事人立即予以改正；要求当事人对标签存在瑕疵的化妆品做下架暂停经营处理，并改正上述违法行为。2024年8月28日，本局指派两名执法人员对当事人在开展经营活动中存在的上述问题进行复查时发现，当事人对开展经营活动中存在的上述问题，在规定的期限内未改正。为进一步调查案情，经分局部门负责人批准，本局于2024年8月29日予以立案调查。  </w:t>
      </w:r>
    </w:p>
    <w:p>
      <w:pPr>
        <w:spacing w:line="240" w:lineRule="auto"/>
        <w:ind w:left="-239" w:leftChars="-114" w:right="233" w:rightChars="111" w:firstLine="640" w:firstLineChars="200"/>
        <w:jc w:val="left"/>
        <w:rPr>
          <w:rFonts w:ascii="仿宋" w:hAnsi="仿宋" w:eastAsia="仿宋" w:cs="仿宋"/>
          <w:bCs/>
          <w:color w:val="000000"/>
          <w:sz w:val="32"/>
          <w:szCs w:val="32"/>
          <w:u w:val="none"/>
        </w:rPr>
      </w:pPr>
      <w:r>
        <w:rPr>
          <w:rFonts w:hint="eastAsia" w:ascii="仿宋" w:hAnsi="仿宋" w:eastAsia="仿宋" w:cs="仿宋"/>
          <w:b w:val="0"/>
          <w:bCs w:val="0"/>
          <w:sz w:val="32"/>
          <w:szCs w:val="32"/>
          <w:u w:val="none"/>
          <w:lang w:eastAsia="zh-CN"/>
        </w:rPr>
        <w:t>经查：</w:t>
      </w:r>
      <w:r>
        <w:rPr>
          <w:rFonts w:hint="eastAsia" w:ascii="仿宋" w:hAnsi="仿宋" w:eastAsia="仿宋" w:cs="仿宋"/>
          <w:b w:val="0"/>
          <w:bCs w:val="0"/>
          <w:color w:val="FF0000"/>
          <w:sz w:val="32"/>
          <w:szCs w:val="32"/>
          <w:u w:val="none"/>
          <w:lang w:val="en-US" w:eastAsia="zh-CN"/>
        </w:rPr>
        <w:t xml:space="preserve"> </w:t>
      </w:r>
      <w:r>
        <w:rPr>
          <w:rFonts w:hint="eastAsia" w:ascii="仿宋" w:hAnsi="仿宋" w:eastAsia="仿宋" w:cs="仿宋"/>
          <w:b w:val="0"/>
          <w:bCs w:val="0"/>
          <w:color w:val="auto"/>
          <w:sz w:val="32"/>
          <w:szCs w:val="32"/>
          <w:u w:val="none"/>
          <w:lang w:val="en-US" w:eastAsia="zh-CN"/>
        </w:rPr>
        <w:t>2024年6月25日，当事人由湖北蕲仁堂科技有限公司采购上述“中艾国灸蕲艾草本精油”（产品名称：中艾国灸蕲艾草本精油；委托方：湖北蕲仁堂科技有限公司、地址：湖北省黄冈市蕲春县赤东镇（蕲春经济开发区凯迪大道2号）、被委托生产企业：湖北一世缘蕲艾生物科技股份有限公司、地址：蕲春县蕲春李时珍医药工业园区蕲艾产业园、执行标准：QB/T4079-2010；化妆品生产许可证号：鄂妆20160002；备案编号：鄂G妆网备字2023000490；生产批号：240620001、生产日期：20240620、使用期限：20260619。）数量：1箱，每箱128盒。</w:t>
      </w:r>
      <w:r>
        <w:rPr>
          <w:rFonts w:hint="eastAsia" w:ascii="仿宋" w:hAnsi="仿宋" w:eastAsia="仿宋" w:cs="仿宋"/>
          <w:b w:val="0"/>
          <w:bCs w:val="0"/>
          <w:color w:val="auto"/>
          <w:sz w:val="32"/>
          <w:szCs w:val="32"/>
          <w:u w:val="none"/>
          <w:lang w:eastAsia="zh-CN"/>
        </w:rPr>
        <w:t>当</w:t>
      </w:r>
      <w:r>
        <w:rPr>
          <w:rFonts w:hint="eastAsia" w:ascii="仿宋" w:hAnsi="仿宋" w:eastAsia="仿宋" w:cs="仿宋"/>
          <w:b w:val="0"/>
          <w:bCs w:val="0"/>
          <w:sz w:val="32"/>
          <w:szCs w:val="32"/>
          <w:u w:val="none"/>
          <w:lang w:eastAsia="zh-CN"/>
        </w:rPr>
        <w:t>事人工作人员在拆解上述化妆品外包装时，损坏了其中</w:t>
      </w:r>
      <w:r>
        <w:rPr>
          <w:rFonts w:hint="eastAsia" w:ascii="仿宋" w:hAnsi="仿宋" w:eastAsia="仿宋" w:cs="仿宋"/>
          <w:b w:val="0"/>
          <w:bCs w:val="0"/>
          <w:sz w:val="32"/>
          <w:szCs w:val="32"/>
          <w:u w:val="none"/>
          <w:lang w:val="en-US" w:eastAsia="zh-CN"/>
        </w:rPr>
        <w:t>1</w:t>
      </w:r>
      <w:r>
        <w:rPr>
          <w:rFonts w:hint="eastAsia" w:ascii="仿宋" w:hAnsi="仿宋" w:eastAsia="仿宋" w:cs="仿宋"/>
          <w:b w:val="0"/>
          <w:bCs w:val="0"/>
          <w:sz w:val="32"/>
          <w:szCs w:val="32"/>
          <w:u w:val="none"/>
          <w:lang w:eastAsia="zh-CN"/>
        </w:rPr>
        <w:t>盒“</w:t>
      </w:r>
      <w:r>
        <w:rPr>
          <w:rFonts w:hint="eastAsia" w:ascii="仿宋" w:hAnsi="仿宋" w:eastAsia="仿宋" w:cs="仿宋"/>
          <w:sz w:val="32"/>
          <w:szCs w:val="32"/>
          <w:u w:val="none"/>
          <w:lang w:val="en-US" w:eastAsia="zh-CN"/>
        </w:rPr>
        <w:t>中艾国灸蕲艾草本精油</w:t>
      </w:r>
      <w:r>
        <w:rPr>
          <w:rFonts w:hint="eastAsia" w:ascii="仿宋" w:hAnsi="仿宋" w:eastAsia="仿宋" w:cs="仿宋"/>
          <w:b w:val="0"/>
          <w:bCs w:val="0"/>
          <w:sz w:val="32"/>
          <w:szCs w:val="32"/>
          <w:u w:val="none"/>
          <w:lang w:eastAsia="zh-CN"/>
        </w:rPr>
        <w:t>”的外包装盒，致使该化妆品所标注的“净含量”的内容印字脱落，无法显示其净含量的数量，导致上述化妆品的标签存在瑕疵。202</w:t>
      </w:r>
      <w:r>
        <w:rPr>
          <w:rFonts w:hint="eastAsia" w:ascii="仿宋" w:hAnsi="仿宋" w:eastAsia="仿宋" w:cs="仿宋"/>
          <w:b w:val="0"/>
          <w:bCs w:val="0"/>
          <w:sz w:val="32"/>
          <w:szCs w:val="32"/>
          <w:u w:val="none"/>
          <w:lang w:val="en-US" w:eastAsia="zh-CN"/>
        </w:rPr>
        <w:t>4</w:t>
      </w:r>
      <w:r>
        <w:rPr>
          <w:rFonts w:hint="eastAsia" w:ascii="仿宋" w:hAnsi="仿宋" w:eastAsia="仿宋" w:cs="仿宋"/>
          <w:b w:val="0"/>
          <w:bCs w:val="0"/>
          <w:sz w:val="32"/>
          <w:szCs w:val="32"/>
          <w:u w:val="none"/>
          <w:lang w:eastAsia="zh-CN"/>
        </w:rPr>
        <w:t>年</w:t>
      </w:r>
      <w:r>
        <w:rPr>
          <w:rFonts w:hint="eastAsia" w:ascii="仿宋" w:hAnsi="仿宋" w:eastAsia="仿宋" w:cs="仿宋"/>
          <w:b w:val="0"/>
          <w:bCs w:val="0"/>
          <w:sz w:val="32"/>
          <w:szCs w:val="32"/>
          <w:u w:val="none"/>
          <w:lang w:val="en-US" w:eastAsia="zh-CN"/>
        </w:rPr>
        <w:t>8</w:t>
      </w:r>
      <w:r>
        <w:rPr>
          <w:rFonts w:hint="eastAsia" w:ascii="仿宋" w:hAnsi="仿宋" w:eastAsia="仿宋" w:cs="仿宋"/>
          <w:b w:val="0"/>
          <w:bCs w:val="0"/>
          <w:sz w:val="32"/>
          <w:szCs w:val="32"/>
          <w:u w:val="none"/>
          <w:lang w:eastAsia="zh-CN"/>
        </w:rPr>
        <w:t>月</w:t>
      </w:r>
      <w:r>
        <w:rPr>
          <w:rFonts w:hint="eastAsia" w:ascii="仿宋" w:hAnsi="仿宋" w:eastAsia="仿宋" w:cs="仿宋"/>
          <w:b w:val="0"/>
          <w:bCs w:val="0"/>
          <w:sz w:val="32"/>
          <w:szCs w:val="32"/>
          <w:u w:val="none"/>
          <w:lang w:val="en-US" w:eastAsia="zh-CN"/>
        </w:rPr>
        <w:t>16</w:t>
      </w:r>
      <w:r>
        <w:rPr>
          <w:rFonts w:hint="eastAsia" w:ascii="仿宋" w:hAnsi="仿宋" w:eastAsia="仿宋" w:cs="仿宋"/>
          <w:b w:val="0"/>
          <w:bCs w:val="0"/>
          <w:sz w:val="32"/>
          <w:szCs w:val="32"/>
          <w:u w:val="none"/>
          <w:lang w:eastAsia="zh-CN"/>
        </w:rPr>
        <w:t>日，当事人制定并向本局提交了整改报告。当事人主观上认为已经向市场监督管理部门上交了整改报告，即表示整改完毕；市场监督管理部门不会对其开展经营活动中存在的上述问题进行复查。鉴于上述原因，当事人一直在经营场所内经营上述</w:t>
      </w:r>
      <w:r>
        <w:rPr>
          <w:rFonts w:hint="eastAsia" w:ascii="仿宋" w:hAnsi="仿宋" w:eastAsia="仿宋" w:cs="仿宋"/>
          <w:b w:val="0"/>
          <w:bCs w:val="0"/>
          <w:sz w:val="32"/>
          <w:szCs w:val="32"/>
          <w:u w:val="none"/>
          <w:lang w:val="en-US" w:eastAsia="zh-CN"/>
        </w:rPr>
        <w:t>1</w:t>
      </w:r>
      <w:r>
        <w:rPr>
          <w:rFonts w:hint="eastAsia" w:ascii="仿宋" w:hAnsi="仿宋" w:eastAsia="仿宋" w:cs="仿宋"/>
          <w:b w:val="0"/>
          <w:bCs w:val="0"/>
          <w:sz w:val="32"/>
          <w:szCs w:val="32"/>
          <w:u w:val="none"/>
          <w:lang w:eastAsia="zh-CN"/>
        </w:rPr>
        <w:t>盒标签存在瑕疵的化妆品。经查询该盒“</w:t>
      </w:r>
      <w:r>
        <w:rPr>
          <w:rFonts w:hint="eastAsia" w:ascii="仿宋" w:hAnsi="仿宋" w:eastAsia="仿宋" w:cs="仿宋"/>
          <w:sz w:val="32"/>
          <w:szCs w:val="32"/>
          <w:u w:val="none"/>
          <w:lang w:val="en-US" w:eastAsia="zh-CN"/>
        </w:rPr>
        <w:t>中艾国灸蕲艾草本精油</w:t>
      </w:r>
      <w:r>
        <w:rPr>
          <w:rFonts w:hint="eastAsia" w:ascii="仿宋" w:hAnsi="仿宋" w:eastAsia="仿宋" w:cs="仿宋"/>
          <w:b w:val="0"/>
          <w:bCs w:val="0"/>
          <w:sz w:val="32"/>
          <w:szCs w:val="32"/>
          <w:u w:val="none"/>
          <w:lang w:eastAsia="zh-CN"/>
        </w:rPr>
        <w:t>”外包装盒所标注的条形码以及该产品实物，均可以显示该款化妆品的净含量为：</w:t>
      </w:r>
      <w:r>
        <w:rPr>
          <w:rFonts w:hint="eastAsia" w:ascii="仿宋" w:hAnsi="仿宋" w:eastAsia="仿宋" w:cs="仿宋"/>
          <w:b w:val="0"/>
          <w:bCs w:val="0"/>
          <w:sz w:val="32"/>
          <w:szCs w:val="32"/>
          <w:u w:val="none"/>
          <w:lang w:val="en-US" w:eastAsia="zh-CN"/>
        </w:rPr>
        <w:t>1</w:t>
      </w:r>
      <w:r>
        <w:rPr>
          <w:rFonts w:hint="eastAsia" w:ascii="仿宋" w:hAnsi="仿宋" w:eastAsia="仿宋" w:cs="仿宋"/>
          <w:b w:val="0"/>
          <w:bCs w:val="0"/>
          <w:sz w:val="32"/>
          <w:szCs w:val="32"/>
          <w:u w:val="none"/>
          <w:lang w:eastAsia="zh-CN"/>
        </w:rPr>
        <w:t>0ml。上述化妆品的标签虽然存在瑕疵，但未影响质量安全，未对消费者造成误导。当事人提供了所经营上述化妆品的供货者的市场主体登记证明、供货凭证以及产品生产厂家资质、出厂检验合格证明等相关的证明资料，说明了其进货来源。</w:t>
      </w:r>
      <w:r>
        <w:rPr>
          <w:rFonts w:hint="eastAsia" w:ascii="仿宋" w:hAnsi="仿宋" w:eastAsia="仿宋" w:cs="仿宋"/>
          <w:sz w:val="32"/>
          <w:szCs w:val="32"/>
          <w:u w:val="none"/>
          <w:lang w:eastAsia="zh-CN"/>
        </w:rPr>
        <w:t xml:space="preserve">在调查期间未对当事人采取行政强制措施。 </w:t>
      </w:r>
      <w:r>
        <w:rPr>
          <w:rFonts w:hint="eastAsia" w:ascii="仿宋" w:hAnsi="仿宋" w:eastAsia="仿宋" w:cs="仿宋"/>
          <w:sz w:val="32"/>
          <w:szCs w:val="32"/>
          <w:u w:val="none"/>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240" w:lineRule="auto"/>
        <w:ind w:right="233" w:rightChars="111"/>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1.当事人授权委托人郭静签字盖章提供的当事人营业执照、经营者周翠兰身份证复印件各一份；证明了当事人的基本信息以及经营者身份信息等相关事项。                               </w:t>
      </w:r>
    </w:p>
    <w:p>
      <w:pPr>
        <w:spacing w:line="240" w:lineRule="auto"/>
        <w:ind w:right="233" w:rightChars="111"/>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2. 当事人为授权委托人郭静出具的授权委托书一份；受托人郭静身份证复印件一份；证明了受托人自然人身份信息以及当事人委托的真实性以及委托权限等相关事项。                                                          </w:t>
      </w:r>
    </w:p>
    <w:p>
      <w:pPr>
        <w:spacing w:line="240" w:lineRule="auto"/>
        <w:ind w:right="233" w:rightChars="111"/>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3.本局对当事人经营场所检查笔录二份；现场检查照片打印件六份；对当事人授权委托人郭静所做询问笔录一份；证明了当事人开展经营活动以及涉嫌经营标签存在瑕疵的化妆品的违法事实等相关事项。                                             </w:t>
      </w:r>
    </w:p>
    <w:p>
      <w:pPr>
        <w:spacing w:line="240" w:lineRule="auto"/>
        <w:ind w:right="233" w:rightChars="111"/>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4. 当事人授权委托人郭静盖章确认并提供的该批次“中艾国灸蕲艾草本精油”化妆品的供货者的营业执照、供货凭证以及生产厂家资质、出厂检验合格证明等证明资料复印件各一份；证明了当事人所经营的涉案化妆品的进货来源、产品信息等相关事项。                                                </w:t>
      </w:r>
    </w:p>
    <w:p>
      <w:pPr>
        <w:spacing w:line="240" w:lineRule="auto"/>
        <w:ind w:right="233" w:rightChars="111"/>
        <w:jc w:val="left"/>
        <w:rPr>
          <w:rFonts w:hint="eastAsia" w:ascii="仿宋" w:hAnsi="仿宋" w:eastAsia="仿宋" w:cs="宋体"/>
          <w:bCs/>
          <w:color w:val="000000"/>
          <w:sz w:val="32"/>
          <w:szCs w:val="32"/>
          <w:u w:val="none"/>
          <w:lang w:val="en-US" w:eastAsia="zh-CN"/>
        </w:rPr>
      </w:pPr>
      <w:r>
        <w:rPr>
          <w:rFonts w:hint="eastAsia" w:ascii="仿宋" w:hAnsi="仿宋" w:eastAsia="仿宋" w:cs="仿宋"/>
          <w:b w:val="0"/>
          <w:bCs w:val="0"/>
          <w:sz w:val="32"/>
          <w:szCs w:val="32"/>
          <w:u w:val="none"/>
          <w:lang w:val="en-US" w:eastAsia="zh-CN"/>
        </w:rPr>
        <w:t>5.本局对当事人下达的《责令改正通知书》一份，当事人整改报告一份；证明了本局对当事人涉嫌经营标签存在瑕疵的化妆品的违法行为进行责令改正以及当事人进行改正的相关事项。</w:t>
      </w:r>
      <w:r>
        <w:rPr>
          <w:rFonts w:hint="eastAsia" w:ascii="仿宋" w:hAnsi="仿宋" w:eastAsia="仿宋" w:cs="仿宋"/>
          <w:b w:val="0"/>
          <w:bCs w:val="0"/>
          <w:sz w:val="32"/>
          <w:szCs w:val="32"/>
          <w:u w:val="none"/>
          <w:lang w:eastAsia="zh-CN"/>
        </w:rPr>
        <w:t xml:space="preserve">   </w:t>
      </w:r>
      <w:r>
        <w:rPr>
          <w:rFonts w:hint="eastAsia" w:ascii="仿宋" w:hAnsi="仿宋" w:eastAsia="仿宋" w:cs="仿宋"/>
          <w:b w:val="0"/>
          <w:bCs w:val="0"/>
          <w:sz w:val="32"/>
          <w:szCs w:val="32"/>
          <w:u w:val="none"/>
          <w:lang w:val="en-US" w:eastAsia="zh-CN"/>
        </w:rPr>
        <w:t xml:space="preserve">   </w:t>
      </w:r>
      <w:r>
        <w:rPr>
          <w:rFonts w:hint="eastAsia" w:ascii="仿宋" w:hAnsi="仿宋" w:eastAsia="仿宋" w:cs="宋体"/>
          <w:bCs/>
          <w:color w:val="000000"/>
          <w:sz w:val="32"/>
          <w:szCs w:val="32"/>
          <w:u w:val="none"/>
          <w:lang w:val="en-US" w:eastAsia="zh-CN"/>
        </w:rPr>
        <w:t xml:space="preserve">                                                                       </w:t>
      </w:r>
    </w:p>
    <w:p>
      <w:pPr>
        <w:numPr>
          <w:ilvl w:val="0"/>
          <w:numId w:val="0"/>
        </w:numPr>
        <w:snapToGrid w:val="0"/>
        <w:spacing w:line="360" w:lineRule="auto"/>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2024年9月2日，本局向当事人送达了《行政处罚告知书》（秦市监罚告[2024]1068号），当事人自收到该告知书之日起五个工作日内未行使陈述、申辩权。</w:t>
      </w:r>
    </w:p>
    <w:p>
      <w:pPr>
        <w:numPr>
          <w:ilvl w:val="0"/>
          <w:numId w:val="0"/>
        </w:numPr>
        <w:snapToGrid w:val="0"/>
        <w:spacing w:line="360" w:lineRule="auto"/>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本局认为，当事人的上述行为违反了《化妆品监督管理条例》第三十五条第一款：“化妆品的最小销售单元应当有标签。标签应当符合相关法律、行政法规、强制性国家标准，内容真实、完整、准确。”、《化妆品标签管理办法》第五条第二款：“化妆品标签应当清晰、持久，易于辨认、识读，不得有印字脱落、粘贴不牢等现象。”的规定，属于经营标签存在瑕疵的化妆品的违法行为。 </w:t>
      </w:r>
    </w:p>
    <w:p>
      <w:pPr>
        <w:numPr>
          <w:ilvl w:val="0"/>
          <w:numId w:val="0"/>
        </w:numPr>
        <w:snapToGrid w:val="0"/>
        <w:spacing w:line="360" w:lineRule="auto"/>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当事人经营标签存在瑕疵的化妆品的违法行为，违反了《化妆品监督管理条例》第三十五条第一款、《化妆品标签管理办法》第五条第二款的规定；依据《化妆品监督管理条例》第六十一条第二款、《化妆品标签管理办法》第二十条第一款第（三）项的规定，应予以行政处罚。鉴于当事人因经营标签存在瑕疵的化妆品的违法行为被责令限期改正，但逾期不改正；当事人上述行为不存在依法从轻或者减轻行政处罚的情形，也不存在依法从重行政处罚的情形，依据《河北省市场监督管理系统行政处罚裁量权适用规则》第九条第（三）项的规定，对当事人可以给予一般行政处罚。结合案件实际情况，经综合考量对当事人一般行政处罚。                                     </w:t>
      </w:r>
    </w:p>
    <w:p>
      <w:pPr>
        <w:numPr>
          <w:ilvl w:val="0"/>
          <w:numId w:val="0"/>
        </w:numPr>
        <w:snapToGrid w:val="0"/>
        <w:spacing w:line="360" w:lineRule="auto"/>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综上，对当事人经营标签存在瑕疵的化妆品的违法行为，依据《化妆品监督管理条例》第六十一条第二款：“生产经营的化妆品的标签存在瑕疵但不影响质量安全且不会对消费者造成误导的，由负责药品监督管理的部门责令改正；拒不改正的，处2000元以下罚款。”、《化妆品标签管理办法》第二十条第一款第（三）项：“化妆品标签存在下列情形，但不影响产品质量安全且不会对消费者造成误导的，由负责药品监督管理的部门依照《化妆品监督管理条例》第六十一条第二款规定处理：（三）化妆品标签不清晰难以辨认、识读，或者部分印字脱落或者粘贴不牢的；”的规定，参照《河北省市场监督管理系统行政处罚裁量权适用规则》第九条第（三）项的规定，责令当事人改正上述违法行为，并决定处罚如下 ：</w:t>
      </w:r>
    </w:p>
    <w:p>
      <w:pPr>
        <w:numPr>
          <w:ilvl w:val="0"/>
          <w:numId w:val="0"/>
        </w:numPr>
        <w:snapToGrid w:val="0"/>
        <w:spacing w:line="360" w:lineRule="auto"/>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罚款人民币壹仟元整（1000元）。                                                                                                </w:t>
      </w:r>
    </w:p>
    <w:p>
      <w:pPr>
        <w:numPr>
          <w:ilvl w:val="0"/>
          <w:numId w:val="0"/>
        </w:numPr>
        <w:snapToGrid w:val="0"/>
        <w:spacing w:line="360" w:lineRule="auto"/>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当事人应当自收到本处罚决定书之日起十五日内，将罚没款缴至秦皇岛银行金财支行（全称：秦皇岛市财政局，账号：634013010000002150）；罚没许可证正本标号：07000005，副本标号：07000005-1；到期不缴纳罚款的，依据《中华人民共和国行政处罚法》第七十二条的规定，本局将每日按罚款数额的百分之三加处罚款，并依法申请人民法院强制执行。                                                                                                                                                           </w:t>
      </w:r>
    </w:p>
    <w:p>
      <w:pPr>
        <w:numPr>
          <w:ilvl w:val="0"/>
          <w:numId w:val="0"/>
        </w:numPr>
        <w:snapToGrid w:val="0"/>
        <w:spacing w:line="360" w:lineRule="auto"/>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color w:val="000000"/>
          <w:sz w:val="32"/>
          <w:szCs w:val="32"/>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r>
        <w:rPr>
          <w:rFonts w:hint="eastAsia" w:ascii="仿宋" w:hAnsi="仿宋" w:eastAsia="仿宋" w:cs="宋体"/>
          <w:sz w:val="32"/>
          <w:szCs w:val="32"/>
          <w:u w:val="single"/>
        </w:rPr>
        <w:t xml:space="preserve">   </w:t>
      </w:r>
    </w:p>
    <w:p>
      <w:pPr>
        <w:adjustRightInd w:val="0"/>
        <w:snapToGrid w:val="0"/>
        <w:spacing w:line="460" w:lineRule="exact"/>
        <w:ind w:right="640" w:firstLine="4480" w:firstLineChars="1400"/>
        <w:jc w:val="right"/>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jc w:val="right"/>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pPr>
        <w:adjustRightInd w:val="0"/>
        <w:snapToGrid w:val="0"/>
        <w:spacing w:line="460" w:lineRule="exact"/>
        <w:ind w:right="640" w:firstLine="4480" w:firstLineChars="1400"/>
        <w:jc w:val="center"/>
        <w:textAlignment w:val="baseline"/>
        <w:rPr>
          <w:rFonts w:hint="eastAsia" w:ascii="仿宋" w:hAnsi="仿宋" w:eastAsia="仿宋" w:cs="宋体"/>
          <w:color w:val="000000" w:themeColor="text1"/>
          <w:sz w:val="32"/>
          <w:szCs w:val="32"/>
          <w:lang w:val="en-US" w:eastAsia="zh-CN"/>
        </w:rPr>
      </w:pPr>
      <w:r>
        <w:rPr>
          <w:rFonts w:hint="eastAsia" w:ascii="仿宋" w:hAnsi="仿宋" w:eastAsia="仿宋" w:cs="宋体"/>
          <w:color w:val="000000" w:themeColor="text1"/>
          <w:sz w:val="32"/>
          <w:szCs w:val="32"/>
          <w:lang w:val="en-US" w:eastAsia="zh-CN"/>
        </w:rPr>
        <w:t>（印章）</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9</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10</w:t>
      </w:r>
      <w:r>
        <w:rPr>
          <w:rFonts w:hint="eastAsia" w:ascii="仿宋" w:hAnsi="仿宋" w:eastAsia="仿宋" w:cs="宋体"/>
          <w:color w:val="000000" w:themeColor="text1"/>
          <w:sz w:val="32"/>
          <w:szCs w:val="32"/>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hint="default" w:eastAsia="仿宋" w:asciiTheme="minorEastAsia" w:hAnsiTheme="minorEastAsia" w:cstheme="minorEastAsia"/>
          <w:sz w:val="32"/>
          <w:szCs w:val="32"/>
          <w:lang w:val="en-US" w:eastAsia="zh-CN"/>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宋体"/>
          <w:color w:val="000000"/>
          <w:sz w:val="32"/>
          <w:szCs w:val="32"/>
          <w:u w:val="single"/>
          <w:lang w:val="en-US" w:eastAsia="zh-CN"/>
        </w:rPr>
        <w:t xml:space="preserve">  </w:t>
      </w:r>
    </w:p>
    <w:sectPr>
      <w:footerReference r:id="rId3" w:type="default"/>
      <w:pgSz w:w="11906" w:h="16838"/>
      <w:pgMar w:top="1247" w:right="1417"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5A2F31"/>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47C1544"/>
    <w:rsid w:val="06471552"/>
    <w:rsid w:val="06E02F82"/>
    <w:rsid w:val="07FB76E9"/>
    <w:rsid w:val="095D1CAC"/>
    <w:rsid w:val="09E94680"/>
    <w:rsid w:val="0A783B98"/>
    <w:rsid w:val="0B084B61"/>
    <w:rsid w:val="0D4728C2"/>
    <w:rsid w:val="0D4B051E"/>
    <w:rsid w:val="0EFE2AE5"/>
    <w:rsid w:val="0F1A1E3F"/>
    <w:rsid w:val="10B76C78"/>
    <w:rsid w:val="1326357C"/>
    <w:rsid w:val="13CC5BF0"/>
    <w:rsid w:val="143A0A8B"/>
    <w:rsid w:val="15C90230"/>
    <w:rsid w:val="16051582"/>
    <w:rsid w:val="16264A25"/>
    <w:rsid w:val="1629525B"/>
    <w:rsid w:val="18477C1A"/>
    <w:rsid w:val="18F14FE3"/>
    <w:rsid w:val="1967313B"/>
    <w:rsid w:val="1A710F7F"/>
    <w:rsid w:val="1B040C4C"/>
    <w:rsid w:val="1B860A5A"/>
    <w:rsid w:val="1CB02232"/>
    <w:rsid w:val="1CD667D0"/>
    <w:rsid w:val="1DB12EC2"/>
    <w:rsid w:val="1E7E2A0B"/>
    <w:rsid w:val="1E937BB8"/>
    <w:rsid w:val="20522F5E"/>
    <w:rsid w:val="20B53494"/>
    <w:rsid w:val="211D776A"/>
    <w:rsid w:val="23627A12"/>
    <w:rsid w:val="237635F6"/>
    <w:rsid w:val="26AB5818"/>
    <w:rsid w:val="26DE799C"/>
    <w:rsid w:val="2ABC750C"/>
    <w:rsid w:val="2B5F1D03"/>
    <w:rsid w:val="2CE02D8A"/>
    <w:rsid w:val="314C538B"/>
    <w:rsid w:val="322F2560"/>
    <w:rsid w:val="338024EF"/>
    <w:rsid w:val="350C42EE"/>
    <w:rsid w:val="360D3DFA"/>
    <w:rsid w:val="38A72FFF"/>
    <w:rsid w:val="38F22C81"/>
    <w:rsid w:val="39C327E0"/>
    <w:rsid w:val="3A2E03A4"/>
    <w:rsid w:val="3AE61BED"/>
    <w:rsid w:val="3BA90120"/>
    <w:rsid w:val="3C1A6F40"/>
    <w:rsid w:val="3D067162"/>
    <w:rsid w:val="3EA846BF"/>
    <w:rsid w:val="407A4D6A"/>
    <w:rsid w:val="41B234F8"/>
    <w:rsid w:val="43592C00"/>
    <w:rsid w:val="44612D2C"/>
    <w:rsid w:val="45932A19"/>
    <w:rsid w:val="45BC42A2"/>
    <w:rsid w:val="462B00CD"/>
    <w:rsid w:val="463B505E"/>
    <w:rsid w:val="4711663E"/>
    <w:rsid w:val="47DB5022"/>
    <w:rsid w:val="488015ED"/>
    <w:rsid w:val="49B46475"/>
    <w:rsid w:val="4A107E21"/>
    <w:rsid w:val="4A3F4025"/>
    <w:rsid w:val="4B372408"/>
    <w:rsid w:val="4C40173F"/>
    <w:rsid w:val="4D0E4C96"/>
    <w:rsid w:val="4D706CF0"/>
    <w:rsid w:val="4E5A5650"/>
    <w:rsid w:val="4FAB2261"/>
    <w:rsid w:val="5143571E"/>
    <w:rsid w:val="52E22C40"/>
    <w:rsid w:val="558A777C"/>
    <w:rsid w:val="5B480E52"/>
    <w:rsid w:val="5C5869BC"/>
    <w:rsid w:val="5CB85FBE"/>
    <w:rsid w:val="5F687E46"/>
    <w:rsid w:val="5F9C5F6A"/>
    <w:rsid w:val="62C84A71"/>
    <w:rsid w:val="63384043"/>
    <w:rsid w:val="64BB15B9"/>
    <w:rsid w:val="652E4ACF"/>
    <w:rsid w:val="675853C5"/>
    <w:rsid w:val="67B14110"/>
    <w:rsid w:val="6BEC17E0"/>
    <w:rsid w:val="6BF55FC2"/>
    <w:rsid w:val="6C3752D9"/>
    <w:rsid w:val="6D09534B"/>
    <w:rsid w:val="6E783501"/>
    <w:rsid w:val="6ED96572"/>
    <w:rsid w:val="6F720890"/>
    <w:rsid w:val="6FBB1DD7"/>
    <w:rsid w:val="6FCF30CF"/>
    <w:rsid w:val="709D2F56"/>
    <w:rsid w:val="71B4761C"/>
    <w:rsid w:val="73011F50"/>
    <w:rsid w:val="73023DA4"/>
    <w:rsid w:val="737E5413"/>
    <w:rsid w:val="74EA5B80"/>
    <w:rsid w:val="79FE5A2F"/>
    <w:rsid w:val="7A1C4ECC"/>
    <w:rsid w:val="7BA06143"/>
    <w:rsid w:val="7D9A64D2"/>
    <w:rsid w:val="7E5F4B53"/>
    <w:rsid w:val="7E956C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2680</Words>
  <Characters>2863</Characters>
  <Lines>26</Lines>
  <Paragraphs>7</Paragraphs>
  <TotalTime>16</TotalTime>
  <ScaleCrop>false</ScaleCrop>
  <LinksUpToDate>false</LinksUpToDate>
  <CharactersWithSpaces>3771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2023-07-22T07:01:00Z</cp:lastPrinted>
  <dcterms:modified xsi:type="dcterms:W3CDTF">2024-09-09T07:53:18Z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