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rPr>
          <w:rFonts w:hint="eastAsia" w:eastAsia="黑体"/>
          <w:lang w:val="en-US" w:eastAsia="zh-CN"/>
        </w:rPr>
      </w:pPr>
      <w:r>
        <w:rPr>
          <w:rFonts w:ascii="Times New Roman" w:hAnsi="Times New Roman"/>
        </w:rPr>
        <w:t>ICS</w:t>
      </w:r>
      <w:r>
        <w:rPr>
          <w:rFonts w:hAnsi="黑体"/>
        </w:rPr>
        <w:t xml:space="preserve"> </w:t>
      </w:r>
      <w:r>
        <w:rPr>
          <w:rFonts w:hint="eastAsia" w:hAnsi="黑体"/>
          <w:lang w:val="en-US" w:eastAsia="zh-CN"/>
        </w:rPr>
        <w:t>XX</w:t>
      </w:r>
      <w:r>
        <w:rPr>
          <w:rFonts w:hAnsi="黑体"/>
        </w:rPr>
        <w:t>.</w:t>
      </w:r>
      <w:r>
        <w:rPr>
          <w:rFonts w:hint="eastAsia" w:hAnsi="黑体"/>
          <w:lang w:val="en-US" w:eastAsia="zh-CN"/>
        </w:rPr>
        <w:t>XXX</w:t>
      </w:r>
    </w:p>
    <w:p>
      <w:pPr>
        <w:pStyle w:val="119"/>
      </w:pPr>
      <w:bookmarkStart w:id="0" w:name="WXFLH"/>
      <w:r>
        <w:t xml:space="preserve">CCS </w:t>
      </w:r>
      <w:r>
        <w:rPr>
          <w:rFonts w:hint="eastAsia"/>
          <w:lang w:val="en-US" w:eastAsia="zh-CN"/>
        </w:rPr>
        <w:t>X</w:t>
      </w:r>
      <w:r>
        <w:t xml:space="preserve"> </w:t>
      </w:r>
      <w:r>
        <w:rPr>
          <w:rFonts w:hint="eastAsia"/>
          <w:lang w:val="en-US" w:eastAsia="zh-CN"/>
        </w:rPr>
        <w:t>XX</w:t>
      </w:r>
      <w:r>
        <w:t xml:space="preserve"> </w:t>
      </w:r>
      <w:bookmarkEnd w:id="0"/>
    </w:p>
    <w:tbl>
      <w:tblPr>
        <w:tblStyle w:val="39"/>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638" w:type="dxa"/>
            <w:tcBorders>
              <w:top w:val="nil"/>
              <w:left w:val="nil"/>
              <w:bottom w:val="nil"/>
              <w:right w:val="nil"/>
            </w:tcBorders>
            <w:shd w:val="clear" w:color="auto" w:fill="auto"/>
          </w:tcPr>
          <w:p>
            <w:pPr>
              <w:pStyle w:val="119"/>
            </w:pPr>
            <w:r>
              <mc:AlternateContent>
                <mc:Choice Requires="wps">
                  <w:drawing>
                    <wp:anchor distT="0" distB="0" distL="113665" distR="113665" simplePos="0" relativeHeight="1024"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1" name="BAH"/>
                      <wp:cNvGraphicFramePr/>
                      <a:graphic xmlns:a="http://schemas.openxmlformats.org/drawingml/2006/main">
                        <a:graphicData uri="http://schemas.microsoft.com/office/word/2010/wordprocessingShape">
                          <wps:wsp>
                            <wps:cNvSpPr/>
                            <wps:spPr>
                              <a:xfrm>
                                <a:off x="0" y="0"/>
                                <a:ext cx="710565" cy="161925"/>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503315456;mso-width-relative:page;mso-height-relative:page;" fillcolor="#FFFFFF" filled="t" stroked="f" coordsize="21600,21600" o:gfxdata="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Z2HU&#10;1QAAAAcBAAAPAAAAAAAAAAEAIAAAACIAAABkcnMvZG93bnJldi54bWxQSwECFAAUAAAACACHTuJA&#10;f+yZTusBAADOAwAADgAAAAAAAAABACAAAAAkAQAAZHJzL2Uyb0RvYy54bWxQSwUGAAAAAAYABgBZ&#10;AQAAgQUAAAAA&#10;">
                      <v:fill on="t" focussize="0,0"/>
                      <v:stroke on="f" joinstyle="round"/>
                      <v:imagedata o:title=""/>
                      <o:lock v:ext="edit" aspectratio="f"/>
                    </v:rect>
                  </w:pict>
                </mc:Fallback>
              </mc:AlternateContent>
            </w:r>
          </w:p>
        </w:tc>
      </w:tr>
    </w:tbl>
    <w:p>
      <w:pPr>
        <w:pStyle w:val="106"/>
        <w:rPr>
          <w:rFonts w:hint="eastAsia" w:eastAsia="宋体"/>
          <w:lang w:val="en-US" w:eastAsia="zh-CN"/>
        </w:rPr>
      </w:pPr>
      <w:r>
        <w:t>DB13</w:t>
      </w:r>
      <w:r>
        <w:rPr>
          <w:rFonts w:hint="eastAsia"/>
          <w:lang w:val="en-US" w:eastAsia="zh-CN"/>
        </w:rPr>
        <w:t>03</w:t>
      </w:r>
    </w:p>
    <w:p>
      <w:pPr>
        <w:pStyle w:val="45"/>
        <w:rPr>
          <w:rFonts w:hAnsi="黑体"/>
        </w:rPr>
      </w:pPr>
      <w:r>
        <w:rPr>
          <w:rFonts w:ascii="Times New Roman" w:hAnsi="Times New Roman"/>
        </w:rPr>
        <w:t>DB13</w:t>
      </w:r>
      <w:r>
        <w:rPr>
          <w:rFonts w:hint="eastAsia" w:ascii="Times New Roman" w:hAnsi="Times New Roman"/>
          <w:lang w:val="en-US" w:eastAsia="zh-CN"/>
        </w:rPr>
        <w:t>03</w:t>
      </w:r>
      <w:r>
        <w:rPr>
          <w:rFonts w:hAnsi="黑体"/>
        </w:rPr>
        <w:t xml:space="preserve">/T </w:t>
      </w:r>
      <w:bookmarkStart w:id="1" w:name="StdNo1"/>
      <w:r>
        <w:rPr>
          <w:rFonts w:hAnsi="黑体"/>
        </w:rPr>
        <w:fldChar w:fldCharType="begin">
          <w:ffData>
            <w:name w:val="StdNo1"/>
            <w:enabled/>
            <w:calcOnExit w:val="0"/>
            <w:textInput>
              <w:default w:val="XXXX"/>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39"/>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140" w:type="dxa"/>
            <w:tcBorders>
              <w:top w:val="nil"/>
              <w:left w:val="nil"/>
              <w:bottom w:val="nil"/>
              <w:right w:val="nil"/>
            </w:tcBorders>
            <w:shd w:val="clear" w:color="auto" w:fill="auto"/>
          </w:tcPr>
          <w:p>
            <w:pPr>
              <w:pStyle w:val="74"/>
            </w:pPr>
            <w:bookmarkStart w:id="3" w:name="DT"/>
            <w:r>
              <mc:AlternateContent>
                <mc:Choice Requires="wps">
                  <w:drawing>
                    <wp:anchor distT="0" distB="0" distL="113665" distR="113665" simplePos="0" relativeHeight="1024"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3" name="DT"/>
                      <wp:cNvGraphicFramePr/>
                      <a:graphic xmlns:a="http://schemas.openxmlformats.org/drawingml/2006/main">
                        <a:graphicData uri="http://schemas.microsoft.com/office/word/2010/wordprocessingShape">
                          <wps:wsp>
                            <wps:cNvSpPr/>
                            <wps:spPr>
                              <a:xfrm>
                                <a:off x="0" y="0"/>
                                <a:ext cx="982980" cy="196215"/>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503315456;mso-width-relative:page;mso-height-relative:page;" fillcolor="#FFFFFF" filled="t" stroked="f" coordsize="21600,21600" o:gfxdata="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UYa&#10;FdcAAAAIAQAADwAAAAAAAAABACAAAAAiAAAAZHJzL2Rvd25yZXYueG1sUEsBAhQAFAAAAAgAh07i&#10;QEGzuG3qAQAAzQMAAA4AAAAAAAAAAQAgAAAAJgEAAGRycy9lMm9Eb2MueG1sUEsFBgAAAAAGAAYA&#10;WQEAAIIFAAAAAA==&#10;">
                      <v:fill on="t" focussize="0,0"/>
                      <v:stroke on="f" joinstyle="round"/>
                      <v:imagedata o:title=""/>
                      <o:lock v:ext="edit" aspectratio="f"/>
                    </v:rect>
                  </w:pict>
                </mc:Fallback>
              </mc:AlternateContent>
            </w:r>
            <w:bookmarkEnd w:id="3"/>
          </w:p>
        </w:tc>
      </w:tr>
    </w:tbl>
    <w:p>
      <w:pPr>
        <w:pStyle w:val="45"/>
        <w:rPr>
          <w:rFonts w:hAnsi="黑体"/>
        </w:rPr>
      </w:pPr>
    </w:p>
    <w:p>
      <w:pPr>
        <w:pStyle w:val="45"/>
        <w:rPr>
          <w:rFonts w:hAnsi="黑体"/>
        </w:rPr>
      </w:pPr>
    </w:p>
    <w:p>
      <w:pPr>
        <w:pStyle w:val="76"/>
        <w:rPr>
          <w:rFonts w:hint="eastAsia"/>
          <w:lang w:eastAsia="zh-CN"/>
        </w:rPr>
      </w:pPr>
    </w:p>
    <w:p>
      <w:pPr>
        <w:pStyle w:val="76"/>
        <w:rPr>
          <w:rFonts w:hint="eastAsia"/>
          <w:sz w:val="36"/>
          <w:szCs w:val="36"/>
          <w:lang w:eastAsia="zh-CN"/>
        </w:rPr>
      </w:pPr>
    </w:p>
    <w:p>
      <w:pPr>
        <w:pStyle w:val="76"/>
      </w:pPr>
      <w:r>
        <w:rPr>
          <w:rFonts w:hint="eastAsia"/>
          <w:lang w:eastAsia="zh-CN"/>
        </w:rPr>
        <w:t>知识产权纠纷调解服务规范</w:t>
      </w:r>
      <w:r>
        <w:br w:type="textWrapping"/>
      </w:r>
    </w:p>
    <w:p>
      <w:pPr>
        <w:pStyle w:val="77"/>
        <w:keepNext w:val="0"/>
        <w:keepLines w:val="0"/>
        <w:pageBreakBefore w:val="0"/>
        <w:widowControl w:val="0"/>
        <w:kinsoku/>
        <w:wordWrap/>
        <w:overflowPunct/>
        <w:topLinePunct w:val="0"/>
        <w:autoSpaceDE/>
        <w:autoSpaceDN/>
        <w:bidi w:val="0"/>
        <w:adjustRightInd/>
        <w:snapToGrid/>
        <w:textAlignment w:val="center"/>
        <w:outlineLvl w:val="9"/>
        <w:rPr>
          <w:rFonts w:hint="eastAsia"/>
          <w:lang w:val="en-US" w:eastAsia="zh-CN"/>
        </w:rPr>
      </w:pPr>
      <w:r>
        <w:rPr>
          <w:rFonts w:hint="eastAsia"/>
          <w:lang w:val="en-US" w:eastAsia="zh-CN"/>
        </w:rPr>
        <w:t>Sepcification for m</w:t>
      </w:r>
      <w:r>
        <w:t xml:space="preserve">ediation </w:t>
      </w:r>
      <w:r>
        <w:rPr>
          <w:rFonts w:hint="eastAsia"/>
          <w:lang w:val="en-US" w:eastAsia="zh-CN"/>
        </w:rPr>
        <w:t>services of</w:t>
      </w:r>
    </w:p>
    <w:p>
      <w:pPr>
        <w:pStyle w:val="77"/>
        <w:keepNext w:val="0"/>
        <w:keepLines w:val="0"/>
        <w:pageBreakBefore w:val="0"/>
        <w:widowControl w:val="0"/>
        <w:kinsoku/>
        <w:wordWrap/>
        <w:overflowPunct/>
        <w:topLinePunct w:val="0"/>
        <w:autoSpaceDE/>
        <w:autoSpaceDN/>
        <w:bidi w:val="0"/>
        <w:adjustRightInd/>
        <w:snapToGrid/>
        <w:textAlignment w:val="center"/>
        <w:outlineLvl w:val="9"/>
      </w:pPr>
      <w:r>
        <w:rPr>
          <w:rFonts w:hint="eastAsia"/>
          <w:lang w:val="en-US" w:eastAsia="zh-CN"/>
        </w:rPr>
        <w:t xml:space="preserve"> i</w:t>
      </w:r>
      <w:r>
        <w:t xml:space="preserve">ntellectual </w:t>
      </w:r>
      <w:r>
        <w:rPr>
          <w:rFonts w:hint="eastAsia"/>
          <w:lang w:val="en-US" w:eastAsia="zh-CN"/>
        </w:rPr>
        <w:t>p</w:t>
      </w:r>
      <w:r>
        <w:t xml:space="preserve">roperty </w:t>
      </w:r>
      <w:r>
        <w:rPr>
          <w:rFonts w:hint="eastAsia"/>
          <w:lang w:val="en-US" w:eastAsia="zh-CN"/>
        </w:rPr>
        <w:t>d</w:t>
      </w:r>
      <w:r>
        <w:t>isputes</w:t>
      </w:r>
    </w:p>
    <w:p>
      <w:pPr>
        <w:pStyle w:val="78"/>
      </w:pPr>
    </w:p>
    <w:tbl>
      <w:tblPr>
        <w:tblStyle w:val="39"/>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9"/>
            </w:pPr>
            <w:r>
              <mc:AlternateContent>
                <mc:Choice Requires="wps">
                  <w:drawing>
                    <wp:anchor distT="0" distB="0" distL="113665" distR="113665" simplePos="0" relativeHeight="1024"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5" name="RQ"/>
                      <wp:cNvGraphicFramePr/>
                      <a:graphic xmlns:a="http://schemas.openxmlformats.org/drawingml/2006/main">
                        <a:graphicData uri="http://schemas.microsoft.com/office/word/2010/wordprocessingShape">
                          <wps:wsp>
                            <wps:cNvSpPr/>
                            <wps:spPr>
                              <a:xfrm>
                                <a:off x="0" y="0"/>
                                <a:ext cx="1562100" cy="208279"/>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503315456;mso-width-relative:page;mso-height-relative:page;" fillcolor="#FFFFFF" filled="t" stroked="f" coordsize="21600,21600" o:gfxdata="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2u6&#10;Z9cAAAAKAQAADwAAAAAAAAABACAAAAAiAAAAZHJzL2Rvd25yZXYueG1sUEsBAhQAFAAAAAgAh07i&#10;QIgrZ0PqAQAAzgMAAA4AAAAAAAAAAQAgAAAAJgEAAGRycy9lMm9Eb2MueG1sUEsFBgAAAAAGAAYA&#10;WQEAAIIFAAAAAA==&#10;">
                      <v:fill on="t" focussize="0,0"/>
                      <v:stroke on="f" joinstyle="round"/>
                      <v:imagedata o:title=""/>
                      <o:lock v:ext="edit" aspectratio="f"/>
                      <w10:anchorlock/>
                    </v:rect>
                  </w:pict>
                </mc:Fallback>
              </mc:AlternateContent>
            </w:r>
            <w:r>
              <mc:AlternateContent>
                <mc:Choice Requires="wps">
                  <w:drawing>
                    <wp:anchor distT="0" distB="0" distL="113665" distR="113665" simplePos="0" relativeHeight="1024" behindDoc="1" locked="0" layoutInCell="1" allowOverlap="1">
                      <wp:simplePos x="0" y="0"/>
                      <wp:positionH relativeFrom="column">
                        <wp:posOffset>2454910</wp:posOffset>
                      </wp:positionH>
                      <wp:positionV relativeFrom="paragraph">
                        <wp:posOffset>255270</wp:posOffset>
                      </wp:positionV>
                      <wp:extent cx="1041400" cy="249555"/>
                      <wp:effectExtent l="0" t="0" r="6350" b="0"/>
                      <wp:wrapNone/>
                      <wp:docPr id="7" name="LB"/>
                      <wp:cNvGraphicFramePr/>
                      <a:graphic xmlns:a="http://schemas.openxmlformats.org/drawingml/2006/main">
                        <a:graphicData uri="http://schemas.microsoft.com/office/word/2010/wordprocessingShape">
                          <wps:wsp>
                            <wps:cNvSpPr/>
                            <wps:spPr>
                              <a:xfrm>
                                <a:off x="0" y="0"/>
                                <a:ext cx="1041399" cy="249555"/>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LB" o:spid="_x0000_s1026" o:spt="1" style="position:absolute;left:0pt;margin-left:193.3pt;margin-top:20.1pt;height:19.65pt;width:82pt;z-index:-503315456;mso-width-relative:page;mso-height-relative:page;" fillcolor="#FFFFFF" filled="t" stroked="f" coordsize="21600,21600" o:gfxdata="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T6&#10;XFvXAAAACQEAAA8AAAAAAAAAAQAgAAAAIgAAAGRycy9kb3ducmV2LnhtbFBLAQIUABQAAAAIAIdO&#10;4kCubwl66wEAAM4DAAAOAAAAAAAAAAEAIAAAACYBAABkcnMvZTJvRG9jLnhtbFBLBQYAAAAABgAG&#10;AFkBAACDBQAAAAA=&#10;">
                      <v:fill on="t" focussize="0,0"/>
                      <v:stroke on="f" joinstyle="round"/>
                      <v:imagedata o:title=""/>
                      <o:lock v:ext="edit" aspectratio="f"/>
                    </v:rect>
                  </w:pict>
                </mc:Fallback>
              </mc:AlternateContent>
            </w:r>
            <w:r>
              <w:rPr>
                <w:rFonts w:hint="eastAsia"/>
                <w:lang w:eastAsia="zh-CN"/>
              </w:rPr>
              <w:t>（征求意见稿</w:t>
            </w:r>
            <w:bookmarkStart w:id="47" w:name="_GoBack"/>
            <w:bookmarkEnd w:id="47"/>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0"/>
              <w:ind w:left="1308" w:leftChars="623"/>
              <w:jc w:val="left"/>
              <w:rPr>
                <w:rFonts w:ascii="黑体" w:hAnsi="黑体" w:eastAsia="黑体"/>
              </w:rPr>
            </w:pPr>
          </w:p>
        </w:tc>
      </w:tr>
    </w:tbl>
    <w:p>
      <w:pPr>
        <w:pStyle w:val="127"/>
        <w:framePr w:vAnchor="page" w:hAnchor="page" w:x="1396" w:y="14191"/>
      </w:pPr>
      <w:bookmarkStart w:id="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28"/>
        <w:framePr w:vAnchor="page" w:hAnchor="page" w:x="7066" w:y="14116"/>
      </w:pPr>
      <w:bookmarkStart w:id="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08"/>
      </w:pPr>
      <w:r>
        <w:rPr>
          <w:rFonts w:hint="eastAsia"/>
          <w:lang w:eastAsia="zh-CN"/>
        </w:rPr>
        <w:t>秦皇岛</w:t>
      </w:r>
      <w:r>
        <w:rPr>
          <w:rFonts w:hint="eastAsia"/>
        </w:rPr>
        <w:t>市场监督管理局</w:t>
      </w:r>
      <w:r>
        <w:rPr>
          <w:rFonts w:hAnsi="黑体"/>
        </w:rPr>
        <w:t>   </w:t>
      </w:r>
      <w:r>
        <w:rPr>
          <w:rStyle w:val="71"/>
          <w:rFonts w:hint="eastAsia"/>
        </w:rPr>
        <w:t>发布</w:t>
      </w:r>
    </w:p>
    <w:p>
      <w:pPr>
        <w:pStyle w:val="24"/>
      </w:pPr>
      <w:r>
        <mc:AlternateContent>
          <mc:Choice Requires="wps">
            <w:drawing>
              <wp:anchor distT="0" distB="0" distL="113665" distR="113665" simplePos="0" relativeHeight="1024" behindDoc="0" locked="0" layoutInCell="1" allowOverlap="1">
                <wp:simplePos x="0" y="0"/>
                <wp:positionH relativeFrom="column">
                  <wp:posOffset>66040</wp:posOffset>
                </wp:positionH>
                <wp:positionV relativeFrom="paragraph">
                  <wp:posOffset>2281555</wp:posOffset>
                </wp:positionV>
                <wp:extent cx="6062980" cy="0"/>
                <wp:effectExtent l="0" t="0" r="33020" b="19050"/>
                <wp:wrapNone/>
                <wp:docPr id="11" name="Line 11"/>
                <wp:cNvGraphicFramePr/>
                <a:graphic xmlns:a="http://schemas.openxmlformats.org/drawingml/2006/main">
                  <a:graphicData uri="http://schemas.microsoft.com/office/word/2010/wordprocessingShape">
                    <wps:wsp>
                      <wps:cNvCnPr/>
                      <wps:spPr>
                        <a:xfrm>
                          <a:off x="0" y="0"/>
                          <a:ext cx="6062980"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Line 11" o:spid="_x0000_s1026" o:spt="20" style="position:absolute;left:0pt;margin-left:5.2pt;margin-top:179.65pt;height:0pt;width:477.4pt;z-index:1024;mso-width-relative:page;mso-height-relative:page;" filled="f" stroked="t" coordsize="21600,21600" o:gfxdata="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6fNkvW&#10;AAAACgEAAA8AAAAAAAAAAQAgAAAAIgAAAGRycy9kb3ducmV2LnhtbFBLAQIUABQAAAAIAIdO4kCM&#10;yc0F6QEAAM8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3665" distR="113665" simplePos="0" relativeHeight="102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9" name="Line 11"/>
                <wp:cNvGraphicFramePr/>
                <a:graphic xmlns:a="http://schemas.openxmlformats.org/drawingml/2006/main">
                  <a:graphicData uri="http://schemas.microsoft.com/office/word/2010/wordprocessingShape">
                    <wps:wsp>
                      <wps:cNvCnPr/>
                      <wps:spPr>
                        <a:xfrm>
                          <a:off x="0" y="0"/>
                          <a:ext cx="6062980"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Line 11" o:spid="_x0000_s1026" o:spt="20" style="position:absolute;left:0pt;margin-left:-0.1pt;margin-top:712.3pt;height:0pt;width:477.4pt;z-index:1024;mso-width-relative:page;mso-height-relative:page;" filled="f" stroked="t" coordsize="21600,21600" o:gfxdata="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dRQVtYA&#10;AAALAQAADwAAAAAAAAABACAAAAAiAAAAZHJzL2Rvd25yZXYueG1sUEsBAhQAFAAAAAgAh07iQErs&#10;8xjoAQAAzgMAAA4AAAAAAAAAAQAgAAAAJQEAAGRycy9lMm9Eb2MueG1sUEsFBgAAAAAGAAYAWQEA&#10;AH8FAAAAAA==&#10;">
                <v:fill on="f" focussize="0,0"/>
                <v:stroke color="#000000" joinstyle="round"/>
                <v:imagedata o:title=""/>
                <o:lock v:ext="edit" aspectratio="f"/>
              </v:line>
            </w:pict>
          </mc:Fallback>
        </mc:AlternateContent>
      </w:r>
    </w:p>
    <w:p/>
    <w:p/>
    <w:p>
      <w:pPr>
        <w:pStyle w:val="107"/>
      </w:pPr>
      <w:r>
        <w:rPr>
          <w:rFonts w:hint="eastAsia"/>
        </w:rPr>
        <w:t>秦皇岛市地方标准</w:t>
      </w:r>
    </w:p>
    <w:p>
      <w:pPr>
        <w:tabs>
          <w:tab w:val="right" w:pos="9638"/>
        </w:tabs>
        <w:jc w:val="left"/>
        <w:rPr>
          <w:rFonts w:hint="eastAsia" w:eastAsia="宋体"/>
          <w:lang w:eastAsia="zh-CN"/>
        </w:rPr>
        <w:sectPr>
          <w:pgSz w:w="11906" w:h="16838"/>
          <w:pgMar w:top="567" w:right="850" w:bottom="1134" w:left="1418" w:header="0" w:footer="0" w:gutter="0"/>
          <w:pgNumType w:fmt="upperRoman" w:start="1"/>
          <w:cols w:space="425" w:num="1"/>
          <w:docGrid w:type="lines" w:linePitch="312" w:charSpace="0"/>
        </w:sectPr>
      </w:pPr>
    </w:p>
    <w:p>
      <w:pPr>
        <w:pStyle w:val="48"/>
      </w:pPr>
      <w:r>
        <w:rPr>
          <w:rFonts w:hint="eastAsia"/>
        </w:rPr>
        <w:t>目</w:t>
      </w:r>
      <w:r>
        <w:rPr>
          <w:rFonts w:hAnsi="黑体"/>
        </w:rPr>
        <w:t>  </w:t>
      </w:r>
      <w:r>
        <w:rPr>
          <w:rFonts w:hint="eastAsia"/>
        </w:rPr>
        <w:t>次</w:t>
      </w:r>
    </w:p>
    <w:p>
      <w:pPr>
        <w:pStyle w:val="20"/>
        <w:tabs>
          <w:tab w:val="right" w:leader="dot" w:pos="9354"/>
          <w:tab w:val="clear" w:pos="9242"/>
        </w:tabs>
      </w:pPr>
      <w:r>
        <w:rPr>
          <w:rFonts w:hAnsi="宋体"/>
          <w:kern w:val="0"/>
          <w:szCs w:val="28"/>
        </w:rPr>
        <w:fldChar w:fldCharType="begin"/>
      </w:r>
      <w:r>
        <w:rPr>
          <w:rFonts w:hAnsi="宋体"/>
          <w:kern w:val="0"/>
          <w:szCs w:val="28"/>
        </w:rPr>
        <w:instrText xml:space="preserve"> TOC \h \z \t "一级条标题,2,章标题,1,参考文献,1,附录标识,1,附录章标题,2,前言、引言标题,1" </w:instrText>
      </w:r>
      <w:r>
        <w:rPr>
          <w:rFonts w:hAnsi="宋体"/>
          <w:kern w:val="0"/>
          <w:szCs w:val="28"/>
        </w:rPr>
        <w:fldChar w:fldCharType="separate"/>
      </w:r>
      <w:r>
        <w:rPr>
          <w:rFonts w:hAnsi="宋体"/>
          <w:kern w:val="0"/>
          <w:szCs w:val="28"/>
        </w:rPr>
        <w:fldChar w:fldCharType="begin"/>
      </w:r>
      <w:r>
        <w:rPr>
          <w:rFonts w:hAnsi="宋体"/>
          <w:kern w:val="0"/>
          <w:szCs w:val="28"/>
        </w:rPr>
        <w:instrText xml:space="preserve"> HYPERLINK \l _Toc27039 </w:instrText>
      </w:r>
      <w:r>
        <w:rPr>
          <w:rFonts w:hAnsi="宋体"/>
          <w:kern w:val="0"/>
          <w:szCs w:val="28"/>
        </w:rPr>
        <w:fldChar w:fldCharType="separate"/>
      </w:r>
      <w:r>
        <w:rPr>
          <w:rFonts w:hint="eastAsia"/>
        </w:rPr>
        <w:t>前</w:t>
      </w:r>
      <w:r>
        <w:rPr>
          <w:rFonts w:hAnsi="黑体"/>
        </w:rPr>
        <w:t>  </w:t>
      </w:r>
      <w:r>
        <w:rPr>
          <w:rFonts w:hint="eastAsia"/>
        </w:rPr>
        <w:t>言</w:t>
      </w:r>
      <w:r>
        <w:tab/>
      </w:r>
      <w:r>
        <w:fldChar w:fldCharType="begin"/>
      </w:r>
      <w:r>
        <w:instrText xml:space="preserve"> PAGEREF _Toc27039 </w:instrText>
      </w:r>
      <w:r>
        <w:fldChar w:fldCharType="separate"/>
      </w:r>
      <w:r>
        <w:t>II</w:t>
      </w:r>
      <w:r>
        <w:fldChar w:fldCharType="end"/>
      </w:r>
      <w:r>
        <w:rPr>
          <w:rFonts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_Toc7284 </w:instrText>
      </w:r>
      <w:r>
        <w:rPr>
          <w:rFonts w:ascii="宋体" w:hAnsi="宋体"/>
          <w:kern w:val="0"/>
          <w:szCs w:val="28"/>
        </w:rPr>
        <w:fldChar w:fldCharType="separate"/>
      </w:r>
      <w:r>
        <w:rPr>
          <w:rFonts w:hint="eastAsia"/>
        </w:rPr>
        <w:t>引</w:t>
      </w:r>
      <w:r>
        <w:rPr>
          <w:rFonts w:hAnsi="黑体"/>
        </w:rPr>
        <w:t>  </w:t>
      </w:r>
      <w:r>
        <w:rPr>
          <w:rFonts w:hint="eastAsia"/>
        </w:rPr>
        <w:t>言</w:t>
      </w:r>
      <w:r>
        <w:tab/>
      </w:r>
      <w:r>
        <w:fldChar w:fldCharType="begin"/>
      </w:r>
      <w:r>
        <w:instrText xml:space="preserve"> PAGEREF _Toc7284 </w:instrText>
      </w:r>
      <w:r>
        <w:fldChar w:fldCharType="separate"/>
      </w:r>
      <w:r>
        <w:t>III</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_Toc10697 </w:instrText>
      </w:r>
      <w:r>
        <w:rPr>
          <w:rFonts w:ascii="宋体" w:hAnsi="宋体"/>
          <w:kern w:val="0"/>
          <w:szCs w:val="28"/>
        </w:rPr>
        <w:fldChar w:fldCharType="separate"/>
      </w:r>
      <w:r>
        <w:rPr>
          <w:rFonts w:hint="eastAsia" w:eastAsia="黑体"/>
        </w:rPr>
        <w:t xml:space="preserve">1 </w:t>
      </w:r>
      <w:r>
        <w:rPr>
          <w:rFonts w:hint="eastAsia"/>
        </w:rPr>
        <w:t>范围</w:t>
      </w:r>
      <w:r>
        <w:tab/>
      </w:r>
      <w:r>
        <w:fldChar w:fldCharType="begin"/>
      </w:r>
      <w:r>
        <w:instrText xml:space="preserve"> PAGEREF _Toc10697 </w:instrText>
      </w:r>
      <w:r>
        <w:fldChar w:fldCharType="separate"/>
      </w:r>
      <w:r>
        <w:t>1</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_Toc2617 </w:instrText>
      </w:r>
      <w:r>
        <w:rPr>
          <w:rFonts w:ascii="宋体" w:hAnsi="宋体"/>
          <w:kern w:val="0"/>
          <w:szCs w:val="28"/>
        </w:rPr>
        <w:fldChar w:fldCharType="separate"/>
      </w:r>
      <w:r>
        <w:rPr>
          <w:rFonts w:hint="eastAsia" w:eastAsia="黑体"/>
        </w:rPr>
        <w:t xml:space="preserve">2 </w:t>
      </w:r>
      <w:r>
        <w:rPr>
          <w:rFonts w:hint="eastAsia"/>
        </w:rPr>
        <w:t>规范性引用文件</w:t>
      </w:r>
      <w:r>
        <w:tab/>
      </w:r>
      <w:r>
        <w:fldChar w:fldCharType="begin"/>
      </w:r>
      <w:r>
        <w:instrText xml:space="preserve"> PAGEREF _Toc2617 </w:instrText>
      </w:r>
      <w:r>
        <w:fldChar w:fldCharType="separate"/>
      </w:r>
      <w:r>
        <w:t>1</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_Toc8652 </w:instrText>
      </w:r>
      <w:r>
        <w:rPr>
          <w:rFonts w:ascii="宋体" w:hAnsi="宋体"/>
          <w:kern w:val="0"/>
          <w:szCs w:val="28"/>
        </w:rPr>
        <w:fldChar w:fldCharType="separate"/>
      </w:r>
      <w:r>
        <w:rPr>
          <w:rFonts w:hint="eastAsia" w:eastAsia="黑体"/>
        </w:rPr>
        <w:t xml:space="preserve">3 </w:t>
      </w:r>
      <w:r>
        <w:rPr>
          <w:rFonts w:hint="eastAsia"/>
        </w:rPr>
        <w:t>术语和定义</w:t>
      </w:r>
      <w:r>
        <w:tab/>
      </w:r>
      <w:r>
        <w:fldChar w:fldCharType="begin"/>
      </w:r>
      <w:r>
        <w:instrText xml:space="preserve"> PAGEREF _Toc8652 </w:instrText>
      </w:r>
      <w:r>
        <w:fldChar w:fldCharType="separate"/>
      </w:r>
      <w:r>
        <w:t>1</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_Toc31193 </w:instrText>
      </w:r>
      <w:r>
        <w:rPr>
          <w:rFonts w:ascii="宋体" w:hAnsi="宋体"/>
          <w:kern w:val="0"/>
          <w:szCs w:val="28"/>
        </w:rPr>
        <w:fldChar w:fldCharType="separate"/>
      </w:r>
      <w:r>
        <w:rPr>
          <w:rFonts w:hint="eastAsia" w:eastAsia="黑体"/>
        </w:rPr>
        <w:t xml:space="preserve">4 </w:t>
      </w:r>
      <w:r>
        <w:rPr>
          <w:rFonts w:hint="eastAsia"/>
          <w:lang w:eastAsia="zh-CN"/>
        </w:rPr>
        <w:t>基本原则</w:t>
      </w:r>
      <w:r>
        <w:tab/>
      </w:r>
      <w:r>
        <w:fldChar w:fldCharType="begin"/>
      </w:r>
      <w:r>
        <w:instrText xml:space="preserve"> PAGEREF _Toc31193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_Toc30995 </w:instrText>
      </w:r>
      <w:r>
        <w:rPr>
          <w:rFonts w:ascii="宋体" w:hAnsi="宋体"/>
          <w:kern w:val="0"/>
          <w:szCs w:val="28"/>
        </w:rPr>
        <w:fldChar w:fldCharType="separate"/>
      </w:r>
      <w:r>
        <w:rPr>
          <w:rFonts w:hint="eastAsia"/>
        </w:rPr>
        <w:t xml:space="preserve">4.1 </w:t>
      </w:r>
      <w:r>
        <w:rPr>
          <w:rFonts w:hint="eastAsia"/>
          <w:lang w:eastAsia="zh-CN"/>
        </w:rPr>
        <w:t>合法性原则</w:t>
      </w:r>
      <w:r>
        <w:tab/>
      </w:r>
      <w:r>
        <w:fldChar w:fldCharType="begin"/>
      </w:r>
      <w:r>
        <w:instrText xml:space="preserve"> PAGEREF _Toc30995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_Toc31285 </w:instrText>
      </w:r>
      <w:r>
        <w:rPr>
          <w:rFonts w:ascii="宋体" w:hAnsi="宋体"/>
          <w:kern w:val="0"/>
          <w:szCs w:val="28"/>
        </w:rPr>
        <w:fldChar w:fldCharType="separate"/>
      </w:r>
      <w:r>
        <w:rPr>
          <w:rFonts w:hint="eastAsia"/>
        </w:rPr>
        <w:t xml:space="preserve">4.2 </w:t>
      </w:r>
      <w:r>
        <w:rPr>
          <w:rFonts w:hint="eastAsia"/>
          <w:lang w:eastAsia="zh-CN"/>
        </w:rPr>
        <w:t>公平公证原则</w:t>
      </w:r>
      <w:r>
        <w:tab/>
      </w:r>
      <w:r>
        <w:fldChar w:fldCharType="begin"/>
      </w:r>
      <w:r>
        <w:instrText xml:space="preserve"> PAGEREF _Toc31285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_Toc31634 </w:instrText>
      </w:r>
      <w:r>
        <w:rPr>
          <w:rFonts w:ascii="宋体" w:hAnsi="宋体"/>
          <w:kern w:val="0"/>
          <w:szCs w:val="28"/>
        </w:rPr>
        <w:fldChar w:fldCharType="separate"/>
      </w:r>
      <w:r>
        <w:rPr>
          <w:rFonts w:hint="eastAsia"/>
        </w:rPr>
        <w:t xml:space="preserve">4.3 </w:t>
      </w:r>
      <w:r>
        <w:rPr>
          <w:rFonts w:hint="eastAsia"/>
          <w:lang w:eastAsia="zh-CN"/>
        </w:rPr>
        <w:t>自愿性原则</w:t>
      </w:r>
      <w:r>
        <w:tab/>
      </w:r>
      <w:r>
        <w:fldChar w:fldCharType="begin"/>
      </w:r>
      <w:r>
        <w:instrText xml:space="preserve"> PAGEREF _Toc31634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_Toc9629 </w:instrText>
      </w:r>
      <w:r>
        <w:rPr>
          <w:rFonts w:ascii="宋体" w:hAnsi="宋体"/>
          <w:kern w:val="0"/>
          <w:szCs w:val="28"/>
        </w:rPr>
        <w:fldChar w:fldCharType="separate"/>
      </w:r>
      <w:r>
        <w:rPr>
          <w:rFonts w:hint="eastAsia"/>
        </w:rPr>
        <w:t>4.4 公开透明</w:t>
      </w:r>
      <w:r>
        <w:rPr>
          <w:rFonts w:hint="eastAsia"/>
          <w:lang w:eastAsia="zh-CN"/>
        </w:rPr>
        <w:t>原则</w:t>
      </w:r>
      <w:r>
        <w:tab/>
      </w:r>
      <w:r>
        <w:fldChar w:fldCharType="begin"/>
      </w:r>
      <w:r>
        <w:instrText xml:space="preserve"> PAGEREF _Toc9629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_Toc10180 </w:instrText>
      </w:r>
      <w:r>
        <w:rPr>
          <w:rFonts w:ascii="宋体" w:hAnsi="宋体"/>
          <w:kern w:val="0"/>
          <w:szCs w:val="28"/>
        </w:rPr>
        <w:fldChar w:fldCharType="separate"/>
      </w:r>
      <w:r>
        <w:rPr>
          <w:rFonts w:hint="eastAsia"/>
          <w:szCs w:val="22"/>
        </w:rPr>
        <w:t xml:space="preserve">4.5 </w:t>
      </w:r>
      <w:r>
        <w:rPr>
          <w:rFonts w:hint="eastAsia"/>
          <w:szCs w:val="22"/>
          <w:lang w:eastAsia="zh-CN"/>
        </w:rPr>
        <w:t>保密性原则</w:t>
      </w:r>
      <w:r>
        <w:tab/>
      </w:r>
      <w:r>
        <w:fldChar w:fldCharType="begin"/>
      </w:r>
      <w:r>
        <w:instrText xml:space="preserve"> PAGEREF _Toc10180 </w:instrText>
      </w:r>
      <w:r>
        <w:fldChar w:fldCharType="separate"/>
      </w:r>
      <w:r>
        <w:t>2</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_Toc16488 </w:instrText>
      </w:r>
      <w:r>
        <w:rPr>
          <w:rFonts w:ascii="宋体" w:hAnsi="宋体"/>
          <w:kern w:val="0"/>
          <w:szCs w:val="28"/>
        </w:rPr>
        <w:fldChar w:fldCharType="separate"/>
      </w:r>
      <w:r>
        <w:rPr>
          <w:rFonts w:hint="eastAsia" w:eastAsia="黑体"/>
        </w:rPr>
        <w:t xml:space="preserve">5 </w:t>
      </w:r>
      <w:r>
        <w:rPr>
          <w:rFonts w:hint="eastAsia" w:ascii="宋体"/>
          <w:kern w:val="22"/>
          <w:szCs w:val="20"/>
          <w:lang w:eastAsia="zh-CN"/>
        </w:rPr>
        <w:t>组织</w:t>
      </w:r>
      <w:r>
        <w:rPr>
          <w:rFonts w:hint="eastAsia"/>
          <w:lang w:eastAsia="zh-CN"/>
        </w:rPr>
        <w:t>建设</w:t>
      </w:r>
      <w:r>
        <w:tab/>
      </w:r>
      <w:r>
        <w:fldChar w:fldCharType="begin"/>
      </w:r>
      <w:r>
        <w:instrText xml:space="preserve"> PAGEREF _Toc16488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_Toc31070 </w:instrText>
      </w:r>
      <w:r>
        <w:rPr>
          <w:rFonts w:ascii="宋体" w:hAnsi="宋体"/>
          <w:kern w:val="0"/>
          <w:szCs w:val="28"/>
        </w:rPr>
        <w:fldChar w:fldCharType="separate"/>
      </w:r>
      <w:r>
        <w:rPr>
          <w:rFonts w:hint="eastAsia"/>
        </w:rPr>
        <w:t xml:space="preserve">5.1 </w:t>
      </w:r>
      <w:r>
        <w:rPr>
          <w:rFonts w:hint="eastAsia"/>
          <w:lang w:eastAsia="zh-CN"/>
        </w:rPr>
        <w:t>机构</w:t>
      </w:r>
      <w:r>
        <w:tab/>
      </w:r>
      <w:r>
        <w:fldChar w:fldCharType="begin"/>
      </w:r>
      <w:r>
        <w:instrText xml:space="preserve"> PAGEREF _Toc31070 </w:instrText>
      </w:r>
      <w:r>
        <w:fldChar w:fldCharType="separate"/>
      </w:r>
      <w:r>
        <w:t>2</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_Toc25929 </w:instrText>
      </w:r>
      <w:r>
        <w:rPr>
          <w:rFonts w:ascii="宋体" w:hAnsi="宋体"/>
          <w:kern w:val="0"/>
          <w:szCs w:val="28"/>
        </w:rPr>
        <w:fldChar w:fldCharType="separate"/>
      </w:r>
      <w:r>
        <w:rPr>
          <w:rFonts w:hint="eastAsia"/>
        </w:rPr>
        <w:t xml:space="preserve">5.2 </w:t>
      </w:r>
      <w:r>
        <w:rPr>
          <w:rFonts w:hint="eastAsia"/>
          <w:lang w:eastAsia="zh-CN"/>
        </w:rPr>
        <w:t>人员</w:t>
      </w:r>
      <w:r>
        <w:tab/>
      </w:r>
      <w:r>
        <w:fldChar w:fldCharType="begin"/>
      </w:r>
      <w:r>
        <w:instrText xml:space="preserve"> PAGEREF _Toc25929 </w:instrText>
      </w:r>
      <w:r>
        <w:fldChar w:fldCharType="separate"/>
      </w:r>
      <w:r>
        <w:t>2</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_Toc16083 </w:instrText>
      </w:r>
      <w:r>
        <w:rPr>
          <w:rFonts w:ascii="宋体" w:hAnsi="宋体"/>
          <w:kern w:val="0"/>
          <w:szCs w:val="28"/>
        </w:rPr>
        <w:fldChar w:fldCharType="separate"/>
      </w:r>
      <w:r>
        <w:rPr>
          <w:rFonts w:hint="eastAsia" w:eastAsia="黑体"/>
          <w:szCs w:val="22"/>
          <w:lang w:eastAsia="zh-CN"/>
        </w:rPr>
        <w:t xml:space="preserve">6 </w:t>
      </w:r>
      <w:r>
        <w:rPr>
          <w:rFonts w:hint="eastAsia"/>
          <w:szCs w:val="22"/>
          <w:lang w:eastAsia="zh-CN"/>
        </w:rPr>
        <w:t>调解过程</w:t>
      </w:r>
      <w:r>
        <w:tab/>
      </w:r>
      <w:r>
        <w:fldChar w:fldCharType="begin"/>
      </w:r>
      <w:r>
        <w:instrText xml:space="preserve"> PAGEREF _Toc16083 </w:instrText>
      </w:r>
      <w:r>
        <w:fldChar w:fldCharType="separate"/>
      </w:r>
      <w:r>
        <w:t>3</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_Toc30021 </w:instrText>
      </w:r>
      <w:r>
        <w:rPr>
          <w:rFonts w:ascii="宋体" w:hAnsi="宋体"/>
          <w:kern w:val="0"/>
          <w:szCs w:val="28"/>
        </w:rPr>
        <w:fldChar w:fldCharType="separate"/>
      </w:r>
      <w:r>
        <w:rPr>
          <w:rFonts w:hint="eastAsia"/>
          <w:lang w:eastAsia="zh-CN"/>
        </w:rPr>
        <w:t>6.1 接收</w:t>
      </w:r>
      <w:r>
        <w:tab/>
      </w:r>
      <w:r>
        <w:fldChar w:fldCharType="begin"/>
      </w:r>
      <w:r>
        <w:instrText xml:space="preserve"> PAGEREF _Toc30021 </w:instrText>
      </w:r>
      <w:r>
        <w:fldChar w:fldCharType="separate"/>
      </w:r>
      <w:r>
        <w:t>3</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_Toc30697 </w:instrText>
      </w:r>
      <w:r>
        <w:rPr>
          <w:rFonts w:ascii="宋体" w:hAnsi="宋体"/>
          <w:kern w:val="0"/>
          <w:szCs w:val="28"/>
        </w:rPr>
        <w:fldChar w:fldCharType="separate"/>
      </w:r>
      <w:r>
        <w:rPr>
          <w:rFonts w:hint="eastAsia"/>
          <w:lang w:val="en-US" w:eastAsia="zh-CN"/>
        </w:rPr>
        <w:t>6.2 受理</w:t>
      </w:r>
      <w:r>
        <w:tab/>
      </w:r>
      <w:r>
        <w:fldChar w:fldCharType="begin"/>
      </w:r>
      <w:r>
        <w:instrText xml:space="preserve"> PAGEREF _Toc30697 </w:instrText>
      </w:r>
      <w:r>
        <w:fldChar w:fldCharType="separate"/>
      </w:r>
      <w:r>
        <w:t>3</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_Toc28801 </w:instrText>
      </w:r>
      <w:r>
        <w:rPr>
          <w:rFonts w:ascii="宋体" w:hAnsi="宋体"/>
          <w:kern w:val="0"/>
          <w:szCs w:val="28"/>
        </w:rPr>
        <w:fldChar w:fldCharType="separate"/>
      </w:r>
      <w:r>
        <w:rPr>
          <w:rFonts w:hint="eastAsia"/>
          <w:lang w:val="en-US" w:eastAsia="zh-CN"/>
        </w:rPr>
        <w:t>6.3 调解处理</w:t>
      </w:r>
      <w:r>
        <w:tab/>
      </w:r>
      <w:r>
        <w:fldChar w:fldCharType="begin"/>
      </w:r>
      <w:r>
        <w:instrText xml:space="preserve"> PAGEREF _Toc28801 </w:instrText>
      </w:r>
      <w:r>
        <w:fldChar w:fldCharType="separate"/>
      </w:r>
      <w:r>
        <w:t>4</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_Toc28130 </w:instrText>
      </w:r>
      <w:r>
        <w:rPr>
          <w:rFonts w:ascii="宋体" w:hAnsi="宋体"/>
          <w:kern w:val="0"/>
          <w:szCs w:val="28"/>
        </w:rPr>
        <w:fldChar w:fldCharType="separate"/>
      </w:r>
      <w:r>
        <w:rPr>
          <w:rFonts w:hint="eastAsia" w:eastAsia="黑体"/>
          <w:szCs w:val="22"/>
          <w:lang w:eastAsia="zh-CN"/>
        </w:rPr>
        <w:t xml:space="preserve">7 </w:t>
      </w:r>
      <w:r>
        <w:rPr>
          <w:rFonts w:hint="eastAsia"/>
          <w:szCs w:val="22"/>
          <w:lang w:eastAsia="zh-CN"/>
        </w:rPr>
        <w:t>服务质量控制</w:t>
      </w:r>
      <w:r>
        <w:tab/>
      </w:r>
      <w:r>
        <w:fldChar w:fldCharType="begin"/>
      </w:r>
      <w:r>
        <w:instrText xml:space="preserve"> PAGEREF _Toc28130 </w:instrText>
      </w:r>
      <w:r>
        <w:fldChar w:fldCharType="separate"/>
      </w:r>
      <w:r>
        <w:t>6</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_Toc17972 </w:instrText>
      </w:r>
      <w:r>
        <w:rPr>
          <w:rFonts w:ascii="宋体" w:hAnsi="宋体"/>
          <w:kern w:val="0"/>
          <w:szCs w:val="28"/>
        </w:rPr>
        <w:fldChar w:fldCharType="separate"/>
      </w:r>
      <w:r>
        <w:rPr>
          <w:rFonts w:hint="eastAsia"/>
          <w:szCs w:val="22"/>
          <w:lang w:eastAsia="zh-CN"/>
        </w:rPr>
        <w:t>7.1 跟踪回访</w:t>
      </w:r>
      <w:r>
        <w:tab/>
      </w:r>
      <w:r>
        <w:fldChar w:fldCharType="begin"/>
      </w:r>
      <w:r>
        <w:instrText xml:space="preserve"> PAGEREF _Toc17972 </w:instrText>
      </w:r>
      <w:r>
        <w:fldChar w:fldCharType="separate"/>
      </w:r>
      <w:r>
        <w:t>6</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_Toc31244 </w:instrText>
      </w:r>
      <w:r>
        <w:rPr>
          <w:rFonts w:ascii="宋体" w:hAnsi="宋体"/>
          <w:kern w:val="0"/>
          <w:szCs w:val="28"/>
        </w:rPr>
        <w:fldChar w:fldCharType="separate"/>
      </w:r>
      <w:r>
        <w:rPr>
          <w:rFonts w:hint="eastAsia"/>
          <w:szCs w:val="22"/>
          <w:lang w:eastAsia="zh-CN"/>
        </w:rPr>
        <w:t>7.2 服务质量指标</w:t>
      </w:r>
      <w:r>
        <w:tab/>
      </w:r>
      <w:r>
        <w:fldChar w:fldCharType="begin"/>
      </w:r>
      <w:r>
        <w:instrText xml:space="preserve"> PAGEREF _Toc31244 </w:instrText>
      </w:r>
      <w:r>
        <w:fldChar w:fldCharType="separate"/>
      </w:r>
      <w:r>
        <w:t>6</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_Toc23945 </w:instrText>
      </w:r>
      <w:r>
        <w:rPr>
          <w:rFonts w:ascii="宋体" w:hAnsi="宋体"/>
          <w:kern w:val="0"/>
          <w:szCs w:val="28"/>
        </w:rPr>
        <w:fldChar w:fldCharType="separate"/>
      </w:r>
      <w:r>
        <w:rPr>
          <w:rFonts w:hint="eastAsia" w:eastAsia="黑体"/>
          <w:szCs w:val="22"/>
          <w:lang w:eastAsia="zh-CN"/>
        </w:rPr>
        <w:t xml:space="preserve">8 </w:t>
      </w:r>
      <w:r>
        <w:rPr>
          <w:rFonts w:hint="eastAsia"/>
          <w:szCs w:val="22"/>
          <w:lang w:eastAsia="zh-CN"/>
        </w:rPr>
        <w:t>管理要求</w:t>
      </w:r>
      <w:r>
        <w:tab/>
      </w:r>
      <w:r>
        <w:fldChar w:fldCharType="begin"/>
      </w:r>
      <w:r>
        <w:instrText xml:space="preserve"> PAGEREF _Toc23945 </w:instrText>
      </w:r>
      <w:r>
        <w:fldChar w:fldCharType="separate"/>
      </w:r>
      <w:r>
        <w:t>6</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_Toc21942 </w:instrText>
      </w:r>
      <w:r>
        <w:rPr>
          <w:rFonts w:ascii="宋体" w:hAnsi="宋体"/>
          <w:kern w:val="0"/>
          <w:szCs w:val="28"/>
        </w:rPr>
        <w:fldChar w:fldCharType="separate"/>
      </w:r>
      <w:r>
        <w:rPr>
          <w:rFonts w:hint="eastAsia"/>
          <w:lang w:eastAsia="zh-CN"/>
        </w:rPr>
        <w:t>8.1 人员管理</w:t>
      </w:r>
      <w:r>
        <w:tab/>
      </w:r>
      <w:r>
        <w:fldChar w:fldCharType="begin"/>
      </w:r>
      <w:r>
        <w:instrText xml:space="preserve"> PAGEREF _Toc21942 </w:instrText>
      </w:r>
      <w:r>
        <w:fldChar w:fldCharType="separate"/>
      </w:r>
      <w:r>
        <w:t>6</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_Toc26165 </w:instrText>
      </w:r>
      <w:r>
        <w:rPr>
          <w:rFonts w:ascii="宋体" w:hAnsi="宋体"/>
          <w:kern w:val="0"/>
          <w:szCs w:val="28"/>
        </w:rPr>
        <w:fldChar w:fldCharType="separate"/>
      </w:r>
      <w:r>
        <w:rPr>
          <w:rFonts w:hint="eastAsia"/>
          <w:lang w:eastAsia="zh-CN"/>
        </w:rPr>
        <w:t>8.2 服务场所管理</w:t>
      </w:r>
      <w:r>
        <w:tab/>
      </w:r>
      <w:r>
        <w:fldChar w:fldCharType="begin"/>
      </w:r>
      <w:r>
        <w:instrText xml:space="preserve"> PAGEREF _Toc26165 </w:instrText>
      </w:r>
      <w:r>
        <w:fldChar w:fldCharType="separate"/>
      </w:r>
      <w:r>
        <w:t>7</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_Toc26325 </w:instrText>
      </w:r>
      <w:r>
        <w:rPr>
          <w:rFonts w:ascii="宋体" w:hAnsi="宋体"/>
          <w:kern w:val="0"/>
          <w:szCs w:val="28"/>
        </w:rPr>
        <w:fldChar w:fldCharType="separate"/>
      </w:r>
      <w:r>
        <w:rPr>
          <w:rFonts w:hint="eastAsia"/>
          <w:lang w:eastAsia="zh-CN"/>
        </w:rPr>
        <w:t>8.3 安全应急管理</w:t>
      </w:r>
      <w:r>
        <w:tab/>
      </w:r>
      <w:r>
        <w:fldChar w:fldCharType="begin"/>
      </w:r>
      <w:r>
        <w:instrText xml:space="preserve"> PAGEREF _Toc26325 </w:instrText>
      </w:r>
      <w:r>
        <w:fldChar w:fldCharType="separate"/>
      </w:r>
      <w:r>
        <w:t>7</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_Toc14088 </w:instrText>
      </w:r>
      <w:r>
        <w:rPr>
          <w:rFonts w:ascii="宋体" w:hAnsi="宋体"/>
          <w:kern w:val="0"/>
          <w:szCs w:val="28"/>
        </w:rPr>
        <w:fldChar w:fldCharType="separate"/>
      </w:r>
      <w:r>
        <w:rPr>
          <w:rFonts w:hint="eastAsia"/>
          <w:lang w:eastAsia="zh-CN"/>
        </w:rPr>
        <w:t>8.4 档案管理</w:t>
      </w:r>
      <w:r>
        <w:tab/>
      </w:r>
      <w:r>
        <w:fldChar w:fldCharType="begin"/>
      </w:r>
      <w:r>
        <w:instrText xml:space="preserve"> PAGEREF _Toc14088 </w:instrText>
      </w:r>
      <w:r>
        <w:fldChar w:fldCharType="separate"/>
      </w:r>
      <w:r>
        <w:t>7</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_Toc22249 </w:instrText>
      </w:r>
      <w:r>
        <w:rPr>
          <w:rFonts w:ascii="宋体" w:hAnsi="宋体"/>
          <w:kern w:val="0"/>
          <w:szCs w:val="28"/>
        </w:rPr>
        <w:fldChar w:fldCharType="separate"/>
      </w:r>
      <w:r>
        <w:rPr>
          <w:rFonts w:hint="eastAsia"/>
          <w:lang w:eastAsia="zh-CN"/>
        </w:rPr>
        <w:t>8.5 统计上报管理</w:t>
      </w:r>
      <w:r>
        <w:tab/>
      </w:r>
      <w:r>
        <w:fldChar w:fldCharType="begin"/>
      </w:r>
      <w:r>
        <w:instrText xml:space="preserve"> PAGEREF _Toc22249 </w:instrText>
      </w:r>
      <w:r>
        <w:fldChar w:fldCharType="separate"/>
      </w:r>
      <w:r>
        <w:t>8</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_Toc29127 </w:instrText>
      </w:r>
      <w:r>
        <w:rPr>
          <w:rFonts w:ascii="宋体" w:hAnsi="宋体"/>
          <w:kern w:val="0"/>
          <w:szCs w:val="28"/>
        </w:rPr>
        <w:fldChar w:fldCharType="separate"/>
      </w:r>
      <w:r>
        <w:rPr>
          <w:rFonts w:hint="eastAsia" w:eastAsia="黑体"/>
          <w:lang w:eastAsia="zh-CN"/>
        </w:rPr>
        <w:t xml:space="preserve">9 </w:t>
      </w:r>
      <w:r>
        <w:rPr>
          <w:rFonts w:hint="eastAsia"/>
          <w:szCs w:val="22"/>
          <w:lang w:eastAsia="zh-CN"/>
        </w:rPr>
        <w:t>服务</w:t>
      </w:r>
      <w:r>
        <w:rPr>
          <w:rFonts w:hint="eastAsia"/>
          <w:lang w:eastAsia="zh-CN"/>
        </w:rPr>
        <w:t>评价与改进</w:t>
      </w:r>
      <w:r>
        <w:tab/>
      </w:r>
      <w:r>
        <w:fldChar w:fldCharType="begin"/>
      </w:r>
      <w:r>
        <w:instrText xml:space="preserve"> PAGEREF _Toc29127 </w:instrText>
      </w:r>
      <w:r>
        <w:fldChar w:fldCharType="separate"/>
      </w:r>
      <w:r>
        <w:t>8</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_Toc28122 </w:instrText>
      </w:r>
      <w:r>
        <w:rPr>
          <w:rFonts w:ascii="宋体" w:hAnsi="宋体"/>
          <w:kern w:val="0"/>
          <w:szCs w:val="28"/>
        </w:rPr>
        <w:fldChar w:fldCharType="separate"/>
      </w:r>
      <w:r>
        <w:rPr>
          <w:rFonts w:hint="eastAsia"/>
          <w:lang w:eastAsia="zh-CN"/>
        </w:rPr>
        <w:t>9.1 服务评价</w:t>
      </w:r>
      <w:r>
        <w:tab/>
      </w:r>
      <w:r>
        <w:fldChar w:fldCharType="begin"/>
      </w:r>
      <w:r>
        <w:instrText xml:space="preserve"> PAGEREF _Toc28122 </w:instrText>
      </w:r>
      <w:r>
        <w:fldChar w:fldCharType="separate"/>
      </w:r>
      <w:r>
        <w:t>8</w:t>
      </w:r>
      <w:r>
        <w:fldChar w:fldCharType="end"/>
      </w:r>
      <w:r>
        <w:rPr>
          <w:rFonts w:ascii="宋体" w:hAnsi="宋体"/>
          <w:kern w:val="0"/>
          <w:szCs w:val="28"/>
        </w:rPr>
        <w:fldChar w:fldCharType="end"/>
      </w:r>
    </w:p>
    <w:p>
      <w:pPr>
        <w:pStyle w:val="29"/>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_Toc7948 </w:instrText>
      </w:r>
      <w:r>
        <w:rPr>
          <w:rFonts w:ascii="宋体" w:hAnsi="宋体"/>
          <w:kern w:val="0"/>
          <w:szCs w:val="28"/>
        </w:rPr>
        <w:fldChar w:fldCharType="separate"/>
      </w:r>
      <w:r>
        <w:rPr>
          <w:rFonts w:hint="eastAsia"/>
          <w:lang w:eastAsia="zh-CN"/>
        </w:rPr>
        <w:t>9.2 服务改进</w:t>
      </w:r>
      <w:r>
        <w:tab/>
      </w:r>
      <w:r>
        <w:fldChar w:fldCharType="begin"/>
      </w:r>
      <w:r>
        <w:instrText xml:space="preserve"> PAGEREF _Toc7948 </w:instrText>
      </w:r>
      <w:r>
        <w:fldChar w:fldCharType="separate"/>
      </w:r>
      <w:r>
        <w:t>8</w:t>
      </w:r>
      <w:r>
        <w:fldChar w:fldCharType="end"/>
      </w:r>
      <w:r>
        <w:rPr>
          <w:rFonts w:ascii="宋体" w:hAnsi="宋体"/>
          <w:kern w:val="0"/>
          <w:szCs w:val="28"/>
        </w:rPr>
        <w:fldChar w:fldCharType="end"/>
      </w:r>
    </w:p>
    <w:p>
      <w:pPr>
        <w:pStyle w:val="20"/>
        <w:tabs>
          <w:tab w:val="right" w:leader="dot" w:pos="9354"/>
          <w:tab w:val="clear" w:pos="9242"/>
        </w:tabs>
      </w:pPr>
      <w:r>
        <w:rPr>
          <w:rFonts w:ascii="宋体" w:hAnsi="宋体"/>
          <w:kern w:val="0"/>
          <w:szCs w:val="28"/>
        </w:rPr>
        <w:fldChar w:fldCharType="begin"/>
      </w:r>
      <w:r>
        <w:rPr>
          <w:rFonts w:ascii="宋体" w:hAnsi="宋体"/>
          <w:kern w:val="0"/>
          <w:szCs w:val="28"/>
        </w:rPr>
        <w:instrText xml:space="preserve"> HYPERLINK \l _Toc14563 </w:instrText>
      </w:r>
      <w:r>
        <w:rPr>
          <w:rFonts w:ascii="宋体" w:hAnsi="宋体"/>
          <w:kern w:val="0"/>
          <w:szCs w:val="28"/>
        </w:rPr>
        <w:fldChar w:fldCharType="separate"/>
      </w:r>
      <w:r>
        <w:rPr>
          <w:rFonts w:hint="eastAsia"/>
        </w:rPr>
        <w:t>参 考 文 献</w:t>
      </w:r>
      <w:r>
        <w:tab/>
      </w:r>
      <w:r>
        <w:fldChar w:fldCharType="begin"/>
      </w:r>
      <w:r>
        <w:instrText xml:space="preserve"> PAGEREF _Toc14563 </w:instrText>
      </w:r>
      <w:r>
        <w:fldChar w:fldCharType="separate"/>
      </w:r>
      <w:r>
        <w:t>10</w:t>
      </w:r>
      <w:r>
        <w:fldChar w:fldCharType="end"/>
      </w:r>
      <w:r>
        <w:rPr>
          <w:rFonts w:ascii="宋体" w:hAnsi="宋体"/>
          <w:kern w:val="0"/>
          <w:szCs w:val="28"/>
        </w:rPr>
        <w:fldChar w:fldCharType="end"/>
      </w:r>
    </w:p>
    <w:p>
      <w:pPr>
        <w:tabs>
          <w:tab w:val="left" w:pos="8647"/>
        </w:tabs>
        <w:ind w:firstLine="420" w:firstLineChars="200"/>
        <w:rPr>
          <w:rFonts w:ascii="宋体" w:hAnsi="宋体"/>
          <w:color w:val="0070C0"/>
          <w:szCs w:val="28"/>
        </w:rPr>
      </w:pPr>
      <w:r>
        <w:rPr>
          <w:rFonts w:ascii="宋体" w:hAnsi="宋体"/>
          <w:kern w:val="0"/>
          <w:szCs w:val="28"/>
        </w:rPr>
        <w:fldChar w:fldCharType="end"/>
      </w:r>
    </w:p>
    <w:p>
      <w:pPr>
        <w:pStyle w:val="109"/>
      </w:pPr>
      <w:bookmarkStart w:id="9" w:name="_Toc475694823"/>
      <w:bookmarkStart w:id="10" w:name="_Toc27039"/>
      <w:r>
        <w:rPr>
          <w:rFonts w:hint="eastAsia"/>
        </w:rPr>
        <w:t>前</w:t>
      </w:r>
      <w:bookmarkStart w:id="11" w:name="BKQY"/>
      <w:r>
        <w:rPr>
          <w:rFonts w:hAnsi="黑体"/>
        </w:rPr>
        <w:t>  </w:t>
      </w:r>
      <w:r>
        <w:rPr>
          <w:rFonts w:hint="eastAsia"/>
        </w:rPr>
        <w:t>言</w:t>
      </w:r>
      <w:bookmarkEnd w:id="9"/>
      <w:bookmarkEnd w:id="10"/>
      <w:bookmarkEnd w:id="11"/>
    </w:p>
    <w:p>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pPr>
        <w:ind w:firstLine="420" w:firstLineChars="200"/>
        <w:rPr>
          <w:rFonts w:ascii="宋体" w:hAnsi="宋体"/>
          <w:szCs w:val="28"/>
        </w:rPr>
      </w:pPr>
      <w:r>
        <w:rPr>
          <w:rFonts w:hint="eastAsia" w:ascii="宋体" w:hAnsi="宋体"/>
          <w:szCs w:val="28"/>
        </w:rPr>
        <w:t>本文件由</w:t>
      </w:r>
      <w:r>
        <w:rPr>
          <w:rFonts w:hint="eastAsia" w:ascii="宋体" w:hAnsi="宋体"/>
          <w:szCs w:val="28"/>
          <w:lang w:eastAsia="zh-CN"/>
        </w:rPr>
        <w:t>秦皇岛市市场监督管理局</w:t>
      </w:r>
      <w:r>
        <w:rPr>
          <w:rFonts w:hint="eastAsia" w:ascii="宋体" w:hAnsi="宋体"/>
          <w:szCs w:val="28"/>
        </w:rPr>
        <w:t>提出</w:t>
      </w:r>
      <w:r>
        <w:rPr>
          <w:rFonts w:hint="eastAsia" w:ascii="宋体" w:hAnsi="宋体"/>
          <w:szCs w:val="28"/>
          <w:lang w:eastAsia="zh-CN"/>
        </w:rPr>
        <w:t>并</w:t>
      </w:r>
      <w:r>
        <w:rPr>
          <w:rFonts w:hint="eastAsia" w:ascii="宋体" w:hAnsi="宋体"/>
          <w:szCs w:val="28"/>
        </w:rPr>
        <w:t>归口。</w:t>
      </w:r>
    </w:p>
    <w:p>
      <w:pPr>
        <w:ind w:firstLine="420" w:firstLineChars="200"/>
        <w:rPr>
          <w:rFonts w:ascii="宋体" w:hAnsi="宋体"/>
          <w:szCs w:val="28"/>
        </w:rPr>
      </w:pPr>
      <w:r>
        <w:rPr>
          <w:rFonts w:hint="eastAsia" w:ascii="宋体" w:hAnsi="宋体"/>
          <w:szCs w:val="28"/>
        </w:rPr>
        <w:t>本文件</w:t>
      </w:r>
      <w:r>
        <w:rPr>
          <w:rFonts w:ascii="宋体" w:hAnsi="宋体"/>
          <w:szCs w:val="28"/>
        </w:rPr>
        <w:t>起草单位：</w:t>
      </w:r>
      <w:r>
        <w:rPr>
          <w:rFonts w:hint="eastAsia" w:ascii="宋体" w:hAnsi="宋体"/>
          <w:szCs w:val="28"/>
          <w:lang w:eastAsia="zh-CN"/>
        </w:rPr>
        <w:t>秦皇岛市市场监督管理局、秦皇岛市质量技术监督检验所、秦皇岛市食品药品检验中心、秦皇岛市计量测试研究所</w:t>
      </w:r>
      <w:r>
        <w:rPr>
          <w:rFonts w:hint="eastAsia" w:ascii="宋体" w:hAnsi="宋体"/>
          <w:szCs w:val="28"/>
          <w:lang w:val="en-US" w:eastAsia="zh-CN"/>
        </w:rPr>
        <w:t xml:space="preserve"> </w:t>
      </w:r>
      <w:r>
        <w:rPr>
          <w:rFonts w:hint="eastAsia" w:ascii="宋体" w:hAnsi="宋体"/>
          <w:szCs w:val="28"/>
        </w:rPr>
        <w:t>。</w:t>
      </w:r>
    </w:p>
    <w:p>
      <w:pPr>
        <w:ind w:firstLine="420" w:firstLineChars="200"/>
        <w:rPr>
          <w:rFonts w:ascii="宋体" w:hAnsi="宋体"/>
          <w:szCs w:val="28"/>
        </w:rPr>
      </w:pPr>
      <w:r>
        <w:rPr>
          <w:rFonts w:hint="eastAsia" w:ascii="宋体" w:hAnsi="宋体"/>
          <w:szCs w:val="28"/>
        </w:rPr>
        <w:t>本文件主要起草人：</w:t>
      </w:r>
      <w:r>
        <w:rPr>
          <w:rFonts w:hint="eastAsia" w:ascii="宋体" w:hAnsi="宋体"/>
          <w:szCs w:val="28"/>
          <w:lang w:eastAsia="zh-CN"/>
        </w:rPr>
        <w:t>郑亚巍、刘伯明、赵俊楠、韩笑、张雨萌</w:t>
      </w:r>
      <w:r>
        <w:rPr>
          <w:rFonts w:hint="eastAsia" w:ascii="宋体" w:hAnsi="宋体"/>
          <w:szCs w:val="28"/>
        </w:rPr>
        <w:t>。</w:t>
      </w:r>
    </w:p>
    <w:p>
      <w:pPr>
        <w:pStyle w:val="109"/>
        <w:spacing w:before="360" w:after="360"/>
      </w:pPr>
      <w:bookmarkStart w:id="12" w:name="_Toc475694824"/>
      <w:bookmarkStart w:id="13" w:name="_Toc7284"/>
      <w:r>
        <w:rPr>
          <w:rFonts w:hint="eastAsia"/>
        </w:rPr>
        <w:t>引</w:t>
      </w:r>
      <w:r>
        <w:rPr>
          <w:rFonts w:hAnsi="黑体"/>
        </w:rPr>
        <w:t>  </w:t>
      </w:r>
      <w:r>
        <w:rPr>
          <w:rFonts w:hint="eastAsia"/>
        </w:rPr>
        <w:t>言</w:t>
      </w:r>
      <w:bookmarkEnd w:id="12"/>
      <w:bookmarkEnd w:id="13"/>
    </w:p>
    <w:p>
      <w:pPr>
        <w:adjustRightInd w:val="0"/>
        <w:spacing w:line="320" w:lineRule="exact"/>
        <w:ind w:firstLine="420" w:firstLineChars="200"/>
        <w:jc w:val="left"/>
        <w:textAlignment w:val="baseline"/>
        <w:rPr>
          <w:rFonts w:hint="eastAsia" w:ascii="宋体"/>
          <w:kern w:val="22"/>
          <w:szCs w:val="20"/>
          <w:lang w:eastAsia="zh-CN"/>
        </w:rPr>
      </w:pPr>
      <w:r>
        <w:rPr>
          <w:rFonts w:hint="eastAsia" w:ascii="宋体"/>
          <w:kern w:val="22"/>
          <w:szCs w:val="20"/>
          <w:lang w:eastAsia="zh-CN"/>
        </w:rPr>
        <w:t>本文件为知识产权纠纷调解服务机构组织建设及服务管理提供依据,制定本规范的目的是为了规范知识产权纠纷调解工作,提升知识产权纠纷调解服务能力，规范调解组织的调解流程。</w:t>
      </w:r>
    </w:p>
    <w:p>
      <w:pPr>
        <w:adjustRightInd w:val="0"/>
        <w:spacing w:line="320" w:lineRule="exact"/>
        <w:ind w:firstLine="420" w:firstLineChars="200"/>
        <w:jc w:val="left"/>
        <w:textAlignment w:val="baseline"/>
        <w:rPr>
          <w:rFonts w:hint="eastAsia" w:ascii="宋体"/>
          <w:kern w:val="22"/>
          <w:szCs w:val="20"/>
          <w:lang w:eastAsia="zh-CN"/>
        </w:rPr>
      </w:pPr>
      <w:r>
        <w:rPr>
          <w:rFonts w:hint="eastAsia" w:ascii="宋体"/>
          <w:kern w:val="22"/>
          <w:szCs w:val="20"/>
          <w:lang w:eastAsia="zh-CN"/>
        </w:rPr>
        <w:t>本文件为秦皇岛市开展调解活动全过程提供了全面、系统的指导，可以为不同层级知识产权纠纷调解服务机构调解工作的开展提供规范化的流程参考。</w:t>
      </w:r>
    </w:p>
    <w:p>
      <w:pPr>
        <w:adjustRightInd w:val="0"/>
        <w:spacing w:line="320" w:lineRule="exact"/>
        <w:ind w:firstLine="420" w:firstLineChars="200"/>
        <w:jc w:val="left"/>
        <w:textAlignment w:val="baseline"/>
        <w:rPr>
          <w:rFonts w:ascii="宋体"/>
          <w:kern w:val="22"/>
          <w:szCs w:val="20"/>
        </w:rPr>
      </w:pPr>
    </w:p>
    <w:p>
      <w:pPr>
        <w:pStyle w:val="48"/>
        <w:rPr>
          <w:rFonts w:hint="eastAsia"/>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8"/>
      </w:pPr>
      <w:r>
        <w:rPr>
          <w:rFonts w:hint="eastAsia"/>
        </w:rPr>
        <w:t>知识产权纠纷调解服务规范</w:t>
      </w:r>
    </w:p>
    <w:p>
      <w:pPr>
        <w:pStyle w:val="43"/>
      </w:pPr>
      <w:bookmarkStart w:id="14" w:name="_Toc475694825"/>
      <w:bookmarkStart w:id="15" w:name="_Toc10697"/>
      <w:r>
        <w:rPr>
          <w:rFonts w:hint="eastAsia"/>
        </w:rPr>
        <w:t>范围</w:t>
      </w:r>
      <w:bookmarkEnd w:id="14"/>
      <w:bookmarkEnd w:id="15"/>
    </w:p>
    <w:p>
      <w:pPr>
        <w:pStyle w:val="24"/>
        <w:tabs>
          <w:tab w:val="clear" w:pos="4201"/>
          <w:tab w:val="clear" w:pos="9298"/>
        </w:tabs>
        <w:ind w:left="0" w:firstLine="420" w:firstLineChars="200"/>
        <w:rPr>
          <w:rFonts w:hint="eastAsia"/>
        </w:rPr>
      </w:pPr>
      <w:r>
        <w:rPr>
          <w:rFonts w:hint="eastAsia"/>
        </w:rPr>
        <w:t>本文件规定了知识产权纠纷调解服务的术语定义、基本</w:t>
      </w:r>
      <w:r>
        <w:rPr>
          <w:rFonts w:hint="eastAsia"/>
          <w:lang w:eastAsia="zh-CN"/>
        </w:rPr>
        <w:t>原则</w:t>
      </w:r>
      <w:r>
        <w:rPr>
          <w:rFonts w:hint="eastAsia"/>
        </w:rPr>
        <w:t>、</w:t>
      </w:r>
      <w:r>
        <w:rPr>
          <w:rFonts w:hint="eastAsia"/>
          <w:lang w:eastAsia="zh-CN"/>
        </w:rPr>
        <w:t>组织</w:t>
      </w:r>
      <w:r>
        <w:rPr>
          <w:rFonts w:hint="eastAsia"/>
        </w:rPr>
        <w:t>建设</w:t>
      </w:r>
      <w:r>
        <w:rPr>
          <w:rFonts w:hint="eastAsia"/>
          <w:lang w:eastAsia="zh-CN"/>
        </w:rPr>
        <w:t>、</w:t>
      </w:r>
      <w:r>
        <w:rPr>
          <w:rFonts w:hint="eastAsia"/>
        </w:rPr>
        <w:t>调解过程、服务质量控制</w:t>
      </w:r>
      <w:r>
        <w:rPr>
          <w:rFonts w:hint="eastAsia"/>
          <w:lang w:eastAsia="zh-CN"/>
        </w:rPr>
        <w:t>、</w:t>
      </w:r>
      <w:r>
        <w:rPr>
          <w:rFonts w:hint="eastAsia"/>
        </w:rPr>
        <w:t>管理要求和服务的评价与改进。</w:t>
      </w:r>
    </w:p>
    <w:p>
      <w:pPr>
        <w:pStyle w:val="24"/>
        <w:tabs>
          <w:tab w:val="clear" w:pos="4201"/>
          <w:tab w:val="clear" w:pos="9298"/>
        </w:tabs>
        <w:ind w:left="0" w:firstLine="420" w:firstLineChars="200"/>
      </w:pPr>
      <w:r>
        <w:rPr>
          <w:rFonts w:hint="eastAsia"/>
        </w:rPr>
        <w:t>本文件适用于</w:t>
      </w:r>
      <w:r>
        <w:rPr>
          <w:rFonts w:hint="eastAsia"/>
          <w:lang w:eastAsia="zh-CN"/>
        </w:rPr>
        <w:t>秦皇岛市</w:t>
      </w:r>
      <w:r>
        <w:rPr>
          <w:rFonts w:hint="eastAsia"/>
        </w:rPr>
        <w:t>知识产权纠纷调解服务机构(以下简称“调解服务机构”)提供知识产权纠纷调解服务。</w:t>
      </w:r>
    </w:p>
    <w:p>
      <w:pPr>
        <w:pStyle w:val="43"/>
      </w:pPr>
      <w:bookmarkStart w:id="16" w:name="_Toc2617"/>
      <w:bookmarkStart w:id="17" w:name="_Toc475694826"/>
      <w:r>
        <w:rPr>
          <w:rFonts w:hint="eastAsia"/>
        </w:rPr>
        <w:t>规范性引用文件</w:t>
      </w:r>
      <w:bookmarkEnd w:id="16"/>
      <w:bookmarkEnd w:id="17"/>
    </w:p>
    <w:p>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color w:val="0070C0"/>
        </w:rPr>
      </w:pPr>
      <w:r>
        <w:rPr>
          <w:rFonts w:hint="eastAsia"/>
        </w:rPr>
        <w:t>GB/T 10001.1 公共信息图形符号</w:t>
      </w:r>
      <w:r>
        <w:rPr>
          <w:rFonts w:hint="eastAsia"/>
          <w:lang w:val="en-US" w:eastAsia="zh-CN"/>
        </w:rPr>
        <w:t xml:space="preserve"> </w:t>
      </w:r>
      <w:r>
        <w:rPr>
          <w:rFonts w:hint="eastAsia"/>
        </w:rPr>
        <w:t>第1部分:通用符号</w:t>
      </w:r>
    </w:p>
    <w:p>
      <w:pPr>
        <w:pStyle w:val="43"/>
      </w:pPr>
      <w:bookmarkStart w:id="18" w:name="_Toc8652"/>
      <w:bookmarkStart w:id="19" w:name="_Toc475694827"/>
      <w:r>
        <w:rPr>
          <w:rFonts w:hint="eastAsia"/>
        </w:rPr>
        <w:t>术语和定义</w:t>
      </w:r>
      <w:bookmarkEnd w:id="18"/>
      <w:bookmarkEnd w:id="19"/>
    </w:p>
    <w:p>
      <w:pPr>
        <w:pStyle w:val="24"/>
        <w:rPr>
          <w:color w:val="000000"/>
        </w:rPr>
      </w:pPr>
      <w:r>
        <w:rPr>
          <w:rFonts w:hint="eastAsia"/>
          <w:color w:val="000000"/>
        </w:rPr>
        <w:t>下列术语和定义适用于本文件。</w:t>
      </w:r>
    </w:p>
    <w:p>
      <w:pPr>
        <w:pStyle w:val="137"/>
      </w:pPr>
    </w:p>
    <w:p>
      <w:pPr>
        <w:pStyle w:val="139"/>
      </w:pPr>
      <w:r>
        <w:rPr>
          <w:rFonts w:hint="eastAsia"/>
          <w:lang w:eastAsia="zh-CN"/>
        </w:rPr>
        <w:t>知识产权纠纷</w:t>
      </w:r>
      <w:r>
        <w:rPr>
          <w:rFonts w:hint="eastAsia"/>
        </w:rPr>
        <w:t xml:space="preserve"> </w:t>
      </w:r>
    </w:p>
    <w:p>
      <w:pPr>
        <w:pStyle w:val="24"/>
        <w:ind w:left="0" w:firstLine="420" w:firstLineChars="200"/>
        <w:rPr>
          <w:rFonts w:ascii="Tahoma" w:hAnsi="Tahoma" w:cs="Tahoma"/>
          <w:color w:val="000000"/>
          <w:szCs w:val="21"/>
          <w:shd w:val="clear" w:color="auto" w:fill="FFFFFF"/>
        </w:rPr>
      </w:pPr>
      <w:r>
        <w:rPr>
          <w:rFonts w:hint="eastAsia"/>
        </w:rPr>
        <w:t>与专利、商标、著作权等知识产权相关的合同纠纷、侵权纠纷、权属纠纷，以及其他知识产权纠纷等</w:t>
      </w:r>
      <w:r>
        <w:rPr>
          <w:rFonts w:hint="eastAsia" w:ascii="Tahoma" w:hAnsi="Tahoma" w:cs="Tahoma"/>
          <w:color w:val="000000"/>
          <w:szCs w:val="21"/>
          <w:shd w:val="clear" w:color="auto" w:fill="FFFFFF"/>
        </w:rPr>
        <w:t>。</w:t>
      </w:r>
    </w:p>
    <w:p>
      <w:pPr>
        <w:pStyle w:val="137"/>
      </w:pPr>
    </w:p>
    <w:p>
      <w:pPr>
        <w:pStyle w:val="139"/>
      </w:pPr>
      <w:r>
        <w:rPr>
          <w:rFonts w:hint="eastAsia"/>
        </w:rPr>
        <w:t>知识产权纠纷调解</w:t>
      </w:r>
    </w:p>
    <w:p>
      <w:pPr>
        <w:pStyle w:val="24"/>
        <w:ind w:left="0" w:firstLine="420" w:firstLineChars="200"/>
      </w:pPr>
      <w:r>
        <w:rPr>
          <w:rFonts w:hint="eastAsia"/>
        </w:rPr>
        <w:t>知识产权纠纷发生后，经双方当事人申请，由调解服务机构通过说服、疏导等方法，促使知识产权纠纷的相关当事人在平等协商基础上，自愿达成调解协议，解决知识产权纠纷的活动</w:t>
      </w:r>
      <w:r>
        <w:rPr>
          <w:rFonts w:hint="eastAsia" w:ascii="Tahoma" w:hAnsi="Tahoma" w:cs="Tahoma"/>
          <w:color w:val="000000"/>
          <w:szCs w:val="21"/>
          <w:shd w:val="clear" w:color="auto" w:fill="FFFFFF"/>
        </w:rPr>
        <w:t>。</w:t>
      </w:r>
    </w:p>
    <w:p>
      <w:pPr>
        <w:pStyle w:val="137"/>
      </w:pPr>
    </w:p>
    <w:p>
      <w:pPr>
        <w:pStyle w:val="139"/>
        <w:rPr>
          <w:rFonts w:hint="eastAsia"/>
        </w:rPr>
      </w:pPr>
      <w:r>
        <w:rPr>
          <w:rFonts w:hint="eastAsia"/>
        </w:rPr>
        <w:t>知识产权纠纷调解服务机构</w:t>
      </w:r>
    </w:p>
    <w:p>
      <w:pPr>
        <w:pStyle w:val="24"/>
        <w:ind w:left="0" w:firstLine="420" w:firstLineChars="200"/>
        <w:rPr>
          <w:rFonts w:hint="eastAsia" w:ascii="Tahoma" w:hAnsi="Tahoma" w:cs="Tahoma"/>
          <w:color w:val="000000"/>
          <w:szCs w:val="21"/>
          <w:shd w:val="clear" w:color="auto" w:fill="FFFFFF"/>
        </w:rPr>
      </w:pPr>
      <w:r>
        <w:rPr>
          <w:rFonts w:hint="eastAsia"/>
        </w:rPr>
        <w:t>依法设立的，在当事人之间调停疏导，促成各方当事人化解知识产权纠纷的专业性组织，简称“调解服务机构”</w:t>
      </w:r>
      <w:r>
        <w:rPr>
          <w:rFonts w:hint="eastAsia" w:ascii="Tahoma" w:hAnsi="Tahoma" w:cs="Tahoma"/>
          <w:color w:val="000000"/>
          <w:szCs w:val="21"/>
          <w:shd w:val="clear" w:color="auto" w:fill="FFFFFF"/>
        </w:rPr>
        <w:t>。</w:t>
      </w:r>
    </w:p>
    <w:p>
      <w:pPr>
        <w:pStyle w:val="62"/>
        <w:rPr>
          <w:rFonts w:hint="eastAsia"/>
        </w:rPr>
      </w:pPr>
      <w:r>
        <w:rPr>
          <w:rFonts w:hint="eastAsia"/>
        </w:rPr>
        <w:t>知识产权纠纷解服务机构包括</w:t>
      </w:r>
      <w:r>
        <w:rPr>
          <w:rFonts w:hint="eastAsia"/>
          <w:lang w:eastAsia="zh-CN"/>
        </w:rPr>
        <w:t>知识产权行政主管部门、</w:t>
      </w:r>
      <w:r>
        <w:rPr>
          <w:rFonts w:hint="eastAsia"/>
        </w:rPr>
        <w:t>人民调解委员会、</w:t>
      </w:r>
      <w:r>
        <w:rPr>
          <w:rFonts w:hint="eastAsia"/>
          <w:lang w:eastAsia="zh-CN"/>
        </w:rPr>
        <w:t>知识产权维权援助机构、知识产权行业组织</w:t>
      </w:r>
      <w:r>
        <w:rPr>
          <w:rFonts w:hint="eastAsia"/>
        </w:rPr>
        <w:t>等。</w:t>
      </w:r>
    </w:p>
    <w:p>
      <w:pPr>
        <w:pStyle w:val="137"/>
        <w:rPr>
          <w:rFonts w:hint="eastAsia"/>
        </w:rPr>
      </w:pPr>
    </w:p>
    <w:p>
      <w:pPr>
        <w:pStyle w:val="139"/>
        <w:rPr>
          <w:rFonts w:hint="eastAsia"/>
          <w:szCs w:val="22"/>
        </w:rPr>
      </w:pPr>
      <w:r>
        <w:rPr>
          <w:rFonts w:hint="eastAsia"/>
          <w:szCs w:val="22"/>
        </w:rPr>
        <w:t>知识产权纠纷调解员</w:t>
      </w:r>
    </w:p>
    <w:p>
      <w:pPr>
        <w:pStyle w:val="24"/>
        <w:rPr>
          <w:rFonts w:hint="eastAsia"/>
        </w:rPr>
      </w:pPr>
      <w:r>
        <w:rPr>
          <w:rFonts w:hint="eastAsia"/>
        </w:rPr>
        <w:t>依法从事知识产权纠纷调解工作的人员，简称“调解员”。</w:t>
      </w:r>
    </w:p>
    <w:p>
      <w:pPr>
        <w:pStyle w:val="137"/>
        <w:rPr>
          <w:rFonts w:hint="eastAsia"/>
          <w:szCs w:val="22"/>
        </w:rPr>
      </w:pPr>
    </w:p>
    <w:p>
      <w:pPr>
        <w:pStyle w:val="139"/>
        <w:rPr>
          <w:rFonts w:hint="eastAsia"/>
          <w:szCs w:val="22"/>
        </w:rPr>
      </w:pPr>
      <w:r>
        <w:rPr>
          <w:rFonts w:hint="eastAsia"/>
          <w:szCs w:val="22"/>
        </w:rPr>
        <w:t>调解卷宗</w:t>
      </w:r>
    </w:p>
    <w:p>
      <w:pPr>
        <w:pStyle w:val="24"/>
        <w:ind w:left="0" w:firstLine="420" w:firstLineChars="200"/>
        <w:rPr>
          <w:rFonts w:hint="eastAsia"/>
          <w:szCs w:val="22"/>
        </w:rPr>
      </w:pPr>
      <w:r>
        <w:rPr>
          <w:rFonts w:hint="eastAsia"/>
          <w:szCs w:val="22"/>
        </w:rPr>
        <w:t>调解服务机构调解某纠纷所涉及的所有文书立卷归档的总称。</w:t>
      </w:r>
    </w:p>
    <w:p>
      <w:pPr>
        <w:pStyle w:val="137"/>
        <w:rPr>
          <w:rFonts w:hint="eastAsia"/>
          <w:szCs w:val="22"/>
        </w:rPr>
      </w:pPr>
      <w:r>
        <w:rPr>
          <w:rFonts w:hint="eastAsia"/>
          <w:szCs w:val="22"/>
          <w:lang w:val="en-US" w:eastAsia="zh-CN"/>
        </w:rPr>
        <w:t xml:space="preserve"> </w:t>
      </w:r>
    </w:p>
    <w:p>
      <w:pPr>
        <w:pStyle w:val="139"/>
        <w:rPr>
          <w:rFonts w:hint="eastAsia"/>
          <w:szCs w:val="22"/>
        </w:rPr>
      </w:pPr>
      <w:r>
        <w:rPr>
          <w:rFonts w:hint="eastAsia"/>
          <w:szCs w:val="22"/>
        </w:rPr>
        <w:t>调解业务档案</w:t>
      </w:r>
    </w:p>
    <w:p>
      <w:pPr>
        <w:pStyle w:val="24"/>
        <w:ind w:left="0" w:firstLine="420" w:firstLineChars="200"/>
        <w:rPr>
          <w:rFonts w:hint="eastAsia"/>
        </w:rPr>
      </w:pPr>
      <w:r>
        <w:rPr>
          <w:rFonts w:hint="eastAsia"/>
        </w:rPr>
        <w:t>调解服务机构在调解工作中形成并归档的，具有查考利用价值的文字记录、图表、声像等不同形式或者载体的文件材料。</w:t>
      </w:r>
    </w:p>
    <w:p>
      <w:pPr>
        <w:pStyle w:val="43"/>
      </w:pPr>
      <w:bookmarkStart w:id="20" w:name="_Toc31193"/>
      <w:r>
        <w:rPr>
          <w:rFonts w:hint="eastAsia"/>
          <w:lang w:eastAsia="zh-CN"/>
        </w:rPr>
        <w:t>基本原则</w:t>
      </w:r>
      <w:bookmarkEnd w:id="20"/>
    </w:p>
    <w:p>
      <w:pPr>
        <w:pStyle w:val="40"/>
        <w:spacing w:before="156" w:beforeLines="0" w:after="156" w:afterLines="0"/>
      </w:pPr>
      <w:bookmarkStart w:id="21" w:name="_Toc30995"/>
      <w:r>
        <w:rPr>
          <w:rFonts w:hint="eastAsia"/>
          <w:lang w:eastAsia="zh-CN"/>
        </w:rPr>
        <w:t>合法性原则</w:t>
      </w:r>
      <w:bookmarkEnd w:id="21"/>
    </w:p>
    <w:p>
      <w:pPr>
        <w:pStyle w:val="24"/>
        <w:ind w:left="0" w:firstLine="420" w:firstLineChars="200"/>
      </w:pPr>
      <w:r>
        <w:rPr>
          <w:rFonts w:hint="eastAsia"/>
        </w:rPr>
        <w:t>调解服务机构调解知识产权纠纷应依照相关法律法规</w:t>
      </w:r>
      <w:r>
        <w:rPr>
          <w:rFonts w:hint="eastAsia"/>
          <w:lang w:eastAsia="zh-CN"/>
        </w:rPr>
        <w:t>开展工作</w:t>
      </w:r>
      <w:r>
        <w:rPr>
          <w:rFonts w:hint="eastAsia"/>
        </w:rPr>
        <w:t>。</w:t>
      </w:r>
    </w:p>
    <w:p>
      <w:pPr>
        <w:pStyle w:val="40"/>
        <w:spacing w:before="156" w:beforeLines="0" w:after="156" w:afterLines="0"/>
      </w:pPr>
      <w:bookmarkStart w:id="22" w:name="_Toc31285"/>
      <w:r>
        <w:rPr>
          <w:rFonts w:hint="eastAsia"/>
          <w:lang w:eastAsia="zh-CN"/>
        </w:rPr>
        <w:t>公平公证原则</w:t>
      </w:r>
      <w:bookmarkEnd w:id="22"/>
    </w:p>
    <w:p>
      <w:pPr>
        <w:pStyle w:val="24"/>
        <w:ind w:left="0" w:firstLine="420" w:firstLineChars="200"/>
        <w:rPr>
          <w:rFonts w:hint="eastAsia" w:eastAsia="宋体"/>
          <w:lang w:eastAsia="zh-CN"/>
        </w:rPr>
      </w:pPr>
      <w:r>
        <w:rPr>
          <w:rFonts w:hint="eastAsia"/>
          <w:lang w:eastAsia="zh-CN"/>
        </w:rPr>
        <w:t>调解服务机构应以事实为根据，公平公正的开展调解相关事务。</w:t>
      </w:r>
    </w:p>
    <w:p>
      <w:pPr>
        <w:pStyle w:val="40"/>
        <w:spacing w:before="156" w:beforeLines="0" w:after="156" w:afterLines="0"/>
      </w:pPr>
      <w:bookmarkStart w:id="23" w:name="_Toc31634"/>
      <w:r>
        <w:rPr>
          <w:rFonts w:hint="eastAsia"/>
          <w:lang w:eastAsia="zh-CN"/>
        </w:rPr>
        <w:t>自愿性原则</w:t>
      </w:r>
      <w:bookmarkEnd w:id="23"/>
    </w:p>
    <w:p>
      <w:pPr>
        <w:pStyle w:val="24"/>
        <w:ind w:left="0" w:firstLine="420" w:firstLineChars="200"/>
        <w:rPr>
          <w:rFonts w:hint="eastAsia"/>
        </w:rPr>
      </w:pPr>
      <w:r>
        <w:rPr>
          <w:rFonts w:hint="eastAsia"/>
        </w:rPr>
        <w:t>调解服务机构在当事人自愿的基础上或者征得当事人同意的基础上进行调解，不得强迫、诱导当事人接受调解，不得因调解而阻止当事人依法通过仲裁、行政、司法等途径维护自己的权利。</w:t>
      </w:r>
    </w:p>
    <w:p>
      <w:pPr>
        <w:pStyle w:val="40"/>
        <w:spacing w:before="156" w:beforeLines="0" w:after="156" w:afterLines="0"/>
        <w:rPr>
          <w:rFonts w:hint="eastAsia"/>
        </w:rPr>
      </w:pPr>
      <w:bookmarkStart w:id="24" w:name="_Toc9629"/>
      <w:r>
        <w:rPr>
          <w:rFonts w:hint="eastAsia"/>
        </w:rPr>
        <w:t>公开透明</w:t>
      </w:r>
      <w:r>
        <w:rPr>
          <w:rFonts w:hint="eastAsia"/>
          <w:lang w:eastAsia="zh-CN"/>
        </w:rPr>
        <w:t>原则</w:t>
      </w:r>
      <w:bookmarkEnd w:id="24"/>
    </w:p>
    <w:p>
      <w:pPr>
        <w:pStyle w:val="24"/>
        <w:ind w:left="0" w:firstLine="420" w:firstLineChars="200"/>
        <w:rPr>
          <w:rFonts w:hint="eastAsia"/>
          <w:szCs w:val="22"/>
        </w:rPr>
      </w:pPr>
      <w:r>
        <w:rPr>
          <w:rFonts w:hint="eastAsia"/>
          <w:szCs w:val="22"/>
        </w:rPr>
        <w:t>调解服务机构应当及时向当事人公开调解程序、调解规范、调解依据等信息，确保调解过程对当事人透明。</w:t>
      </w:r>
    </w:p>
    <w:p>
      <w:pPr>
        <w:pStyle w:val="40"/>
        <w:spacing w:before="156" w:beforeLines="0" w:after="156" w:afterLines="0"/>
        <w:rPr>
          <w:rFonts w:hint="eastAsia"/>
          <w:szCs w:val="22"/>
        </w:rPr>
      </w:pPr>
      <w:bookmarkStart w:id="25" w:name="_Toc10180"/>
      <w:r>
        <w:rPr>
          <w:rFonts w:hint="eastAsia"/>
          <w:szCs w:val="22"/>
          <w:lang w:eastAsia="zh-CN"/>
        </w:rPr>
        <w:t>保密性原则</w:t>
      </w:r>
      <w:bookmarkEnd w:id="25"/>
    </w:p>
    <w:p>
      <w:pPr>
        <w:pStyle w:val="24"/>
        <w:ind w:left="0" w:firstLine="420" w:firstLineChars="200"/>
        <w:rPr>
          <w:rFonts w:hint="eastAsia"/>
        </w:rPr>
      </w:pPr>
      <w:r>
        <w:rPr>
          <w:rFonts w:hint="eastAsia"/>
        </w:rPr>
        <w:t>除法律规定或者经当事人同意，调解服务机构及相关人员均不得对第三方泄露调解案件情况。调解服务机构应与开展调解的工作人员签订保密协议书。参与调解的外聘调解员、专家应签署保密承诺书，在参加商业秘密案件调解前应另外签署相应的保密承诺书。</w:t>
      </w:r>
    </w:p>
    <w:p>
      <w:pPr>
        <w:pStyle w:val="43"/>
      </w:pPr>
      <w:bookmarkStart w:id="26" w:name="_Toc16488"/>
      <w:r>
        <w:rPr>
          <w:rFonts w:hint="eastAsia" w:ascii="宋体"/>
          <w:kern w:val="22"/>
          <w:szCs w:val="20"/>
          <w:lang w:eastAsia="zh-CN"/>
        </w:rPr>
        <w:t>组织</w:t>
      </w:r>
      <w:r>
        <w:rPr>
          <w:rFonts w:hint="eastAsia"/>
          <w:lang w:eastAsia="zh-CN"/>
        </w:rPr>
        <w:t>建设</w:t>
      </w:r>
      <w:bookmarkEnd w:id="26"/>
    </w:p>
    <w:p>
      <w:pPr>
        <w:pStyle w:val="40"/>
        <w:spacing w:before="156" w:beforeLines="0" w:after="156" w:afterLines="0"/>
      </w:pPr>
      <w:bookmarkStart w:id="27" w:name="_Toc31070"/>
      <w:r>
        <w:rPr>
          <w:rFonts w:hint="eastAsia"/>
          <w:lang w:eastAsia="zh-CN"/>
        </w:rPr>
        <w:t>机构</w:t>
      </w:r>
      <w:bookmarkEnd w:id="27"/>
    </w:p>
    <w:p>
      <w:pPr>
        <w:pStyle w:val="44"/>
        <w:spacing w:before="156" w:beforeLines="0" w:after="156" w:afterLines="0"/>
      </w:pPr>
      <w:r>
        <w:rPr>
          <w:rFonts w:hint="eastAsia"/>
          <w:lang w:eastAsia="zh-CN"/>
        </w:rPr>
        <w:t>机构配置</w:t>
      </w:r>
    </w:p>
    <w:p>
      <w:pPr>
        <w:pStyle w:val="24"/>
        <w:ind w:left="0" w:firstLine="420" w:firstLineChars="200"/>
      </w:pPr>
      <w:r>
        <w:rPr>
          <w:rFonts w:hint="eastAsia"/>
        </w:rPr>
        <w:t>调解服务机构应满足上级主管部门的基本要求，按照统一规划、统一标准、属地管理原则建立、运行，并配套相适应的设施设备、服务团队。</w:t>
      </w:r>
    </w:p>
    <w:p>
      <w:pPr>
        <w:pStyle w:val="44"/>
        <w:spacing w:before="156" w:beforeLines="0" w:after="156" w:afterLines="0"/>
      </w:pPr>
      <w:r>
        <w:rPr>
          <w:rFonts w:hint="eastAsia"/>
        </w:rPr>
        <w:t>机构职能</w:t>
      </w:r>
    </w:p>
    <w:p>
      <w:pPr>
        <w:pStyle w:val="24"/>
        <w:rPr>
          <w:rFonts w:hint="eastAsia"/>
        </w:rPr>
      </w:pPr>
      <w:r>
        <w:rPr>
          <w:rFonts w:hint="eastAsia"/>
        </w:rPr>
        <w:t>调解服务机构主要履行以下职能:</w:t>
      </w:r>
    </w:p>
    <w:p>
      <w:pPr>
        <w:pStyle w:val="57"/>
        <w:rPr>
          <w:rFonts w:hint="eastAsia"/>
        </w:rPr>
      </w:pPr>
      <w:r>
        <w:rPr>
          <w:rFonts w:hint="eastAsia"/>
        </w:rPr>
        <w:t>调解知识产权纠纷</w:t>
      </w:r>
      <w:r>
        <w:rPr>
          <w:rFonts w:hint="eastAsia"/>
          <w:lang w:eastAsia="zh-CN"/>
        </w:rPr>
        <w:t>；</w:t>
      </w:r>
    </w:p>
    <w:p>
      <w:pPr>
        <w:pStyle w:val="57"/>
        <w:rPr>
          <w:rFonts w:hint="eastAsia"/>
        </w:rPr>
      </w:pPr>
      <w:r>
        <w:rPr>
          <w:rFonts w:hint="eastAsia"/>
        </w:rPr>
        <w:t>引导当事人履行和解协议、调解协议</w:t>
      </w:r>
      <w:r>
        <w:rPr>
          <w:rFonts w:hint="eastAsia"/>
          <w:lang w:eastAsia="zh-CN"/>
        </w:rPr>
        <w:t>；</w:t>
      </w:r>
    </w:p>
    <w:p>
      <w:pPr>
        <w:pStyle w:val="57"/>
        <w:rPr>
          <w:rFonts w:hint="eastAsia"/>
        </w:rPr>
      </w:pPr>
      <w:r>
        <w:rPr>
          <w:rFonts w:hint="eastAsia"/>
        </w:rPr>
        <w:t>宣传知识产权相关法律、法规、规章和政策</w:t>
      </w:r>
      <w:r>
        <w:rPr>
          <w:rFonts w:hint="eastAsia"/>
          <w:lang w:eastAsia="zh-CN"/>
        </w:rPr>
        <w:t>；</w:t>
      </w:r>
    </w:p>
    <w:p>
      <w:pPr>
        <w:pStyle w:val="57"/>
        <w:rPr>
          <w:rFonts w:hint="eastAsia"/>
        </w:rPr>
      </w:pPr>
      <w:r>
        <w:rPr>
          <w:rFonts w:hint="eastAsia"/>
        </w:rPr>
        <w:t>法律、法规、规章规定的其他职责</w:t>
      </w:r>
      <w:r>
        <w:rPr>
          <w:rFonts w:hint="eastAsia"/>
          <w:lang w:eastAsia="zh-CN"/>
        </w:rPr>
        <w:t>。</w:t>
      </w:r>
    </w:p>
    <w:p>
      <w:pPr>
        <w:pStyle w:val="40"/>
        <w:spacing w:before="156" w:beforeLines="0" w:after="156" w:afterLines="0"/>
      </w:pPr>
      <w:bookmarkStart w:id="28" w:name="_Toc25929"/>
      <w:r>
        <w:rPr>
          <w:rFonts w:hint="eastAsia"/>
          <w:lang w:eastAsia="zh-CN"/>
        </w:rPr>
        <w:t>人员</w:t>
      </w:r>
      <w:bookmarkEnd w:id="28"/>
    </w:p>
    <w:p>
      <w:pPr>
        <w:pStyle w:val="44"/>
        <w:spacing w:before="156" w:beforeLines="0" w:after="156" w:afterLines="0"/>
      </w:pPr>
      <w:r>
        <w:rPr>
          <w:rFonts w:hint="eastAsia"/>
          <w:lang w:eastAsia="zh-CN"/>
        </w:rPr>
        <w:t>人员配置</w:t>
      </w:r>
    </w:p>
    <w:p>
      <w:pPr>
        <w:pStyle w:val="110"/>
      </w:pPr>
      <w:r>
        <w:rPr>
          <w:rFonts w:hint="eastAsia"/>
        </w:rPr>
        <w:t>调解服务机构应清晰设置工作岗位及岗位职责，调解服务机构的调解员通常不少于3名。</w:t>
      </w:r>
    </w:p>
    <w:p>
      <w:pPr>
        <w:pStyle w:val="110"/>
      </w:pPr>
      <w:r>
        <w:rPr>
          <w:rFonts w:hint="eastAsia"/>
        </w:rPr>
        <w:t>按案件难度和数量进行合理的</w:t>
      </w:r>
      <w:r>
        <w:rPr>
          <w:rFonts w:hint="eastAsia"/>
          <w:lang w:eastAsia="zh-CN"/>
        </w:rPr>
        <w:t>人员</w:t>
      </w:r>
      <w:r>
        <w:rPr>
          <w:rFonts w:hint="eastAsia"/>
        </w:rPr>
        <w:t>配置。事实清楚、情形简单的纠纷，可由1名调解员组织调解</w:t>
      </w:r>
      <w:r>
        <w:rPr>
          <w:rFonts w:hint="eastAsia"/>
          <w:lang w:eastAsia="zh-CN"/>
        </w:rPr>
        <w:t>；</w:t>
      </w:r>
      <w:r>
        <w:rPr>
          <w:rFonts w:hint="eastAsia"/>
        </w:rPr>
        <w:t>案件情形复杂的纠纷</w:t>
      </w:r>
      <w:r>
        <w:rPr>
          <w:rFonts w:hint="eastAsia"/>
          <w:lang w:eastAsia="zh-CN"/>
        </w:rPr>
        <w:t>，</w:t>
      </w:r>
      <w:r>
        <w:rPr>
          <w:rFonts w:hint="eastAsia"/>
        </w:rPr>
        <w:t>可由2名以上调解员组成调解组进行调解，并应确定1名调解主持人</w:t>
      </w:r>
      <w:r>
        <w:rPr>
          <w:rFonts w:hint="eastAsia"/>
          <w:lang w:eastAsia="zh-CN"/>
        </w:rPr>
        <w:t>。</w:t>
      </w:r>
    </w:p>
    <w:p>
      <w:pPr>
        <w:pStyle w:val="44"/>
        <w:spacing w:before="156" w:beforeLines="0" w:after="156" w:afterLines="0"/>
      </w:pPr>
      <w:r>
        <w:rPr>
          <w:rFonts w:hint="eastAsia"/>
          <w:lang w:eastAsia="zh-CN"/>
        </w:rPr>
        <w:t>人员</w:t>
      </w:r>
      <w:r>
        <w:rPr>
          <w:rFonts w:hint="eastAsia"/>
        </w:rPr>
        <w:t>职责</w:t>
      </w:r>
    </w:p>
    <w:p>
      <w:pPr>
        <w:pStyle w:val="24"/>
      </w:pPr>
      <w:r>
        <w:rPr>
          <w:rFonts w:hint="eastAsia"/>
        </w:rPr>
        <w:t>调解员应履行以下职责:</w:t>
      </w:r>
    </w:p>
    <w:p>
      <w:pPr>
        <w:pStyle w:val="57"/>
        <w:numPr>
          <w:ilvl w:val="0"/>
          <w:numId w:val="20"/>
        </w:numPr>
      </w:pPr>
      <w:r>
        <w:rPr>
          <w:rFonts w:hint="eastAsia"/>
        </w:rPr>
        <w:t>宣传知识产权法律、法规、规章和政策，提供咨询服务；</w:t>
      </w:r>
    </w:p>
    <w:p>
      <w:pPr>
        <w:pStyle w:val="57"/>
        <w:numPr>
          <w:ilvl w:val="0"/>
          <w:numId w:val="20"/>
        </w:numPr>
      </w:pPr>
      <w:r>
        <w:rPr>
          <w:rFonts w:hint="eastAsia"/>
        </w:rPr>
        <w:t>接受调解服务机构指派，</w:t>
      </w:r>
      <w:r>
        <w:rPr>
          <w:rFonts w:hint="eastAsia"/>
          <w:lang w:eastAsia="zh-CN"/>
        </w:rPr>
        <w:t>开展</w:t>
      </w:r>
      <w:r>
        <w:rPr>
          <w:rFonts w:hint="eastAsia"/>
        </w:rPr>
        <w:t>知识产权纠纷调解</w:t>
      </w:r>
      <w:r>
        <w:rPr>
          <w:rFonts w:hint="eastAsia"/>
          <w:lang w:eastAsia="zh-CN"/>
        </w:rPr>
        <w:t>并</w:t>
      </w:r>
      <w:r>
        <w:rPr>
          <w:rFonts w:hint="eastAsia"/>
        </w:rPr>
        <w:t>记录调解情况</w:t>
      </w:r>
      <w:r>
        <w:rPr>
          <w:rFonts w:hint="eastAsia"/>
          <w:lang w:eastAsia="zh-CN"/>
        </w:rPr>
        <w:t>；</w:t>
      </w:r>
    </w:p>
    <w:p>
      <w:pPr>
        <w:pStyle w:val="57"/>
        <w:numPr>
          <w:ilvl w:val="0"/>
          <w:numId w:val="20"/>
        </w:numPr>
      </w:pPr>
      <w:r>
        <w:rPr>
          <w:rFonts w:hint="eastAsia"/>
          <w:lang w:eastAsia="zh-CN"/>
        </w:rPr>
        <w:t>引导当事人履行和解协议、调解协议；</w:t>
      </w:r>
    </w:p>
    <w:p>
      <w:pPr>
        <w:pStyle w:val="57"/>
        <w:numPr>
          <w:ilvl w:val="0"/>
          <w:numId w:val="20"/>
        </w:numPr>
      </w:pPr>
      <w:r>
        <w:rPr>
          <w:rFonts w:hint="eastAsia"/>
          <w:lang w:eastAsia="zh-CN"/>
        </w:rPr>
        <w:t>配合人民法院进行司法确认。</w:t>
      </w:r>
    </w:p>
    <w:p>
      <w:pPr>
        <w:pStyle w:val="43"/>
        <w:rPr>
          <w:rFonts w:hint="eastAsia"/>
          <w:szCs w:val="22"/>
          <w:lang w:eastAsia="zh-CN"/>
        </w:rPr>
      </w:pPr>
      <w:bookmarkStart w:id="29" w:name="_Toc16083"/>
      <w:r>
        <w:rPr>
          <w:rFonts w:hint="eastAsia"/>
          <w:szCs w:val="22"/>
          <w:lang w:eastAsia="zh-CN"/>
        </w:rPr>
        <w:t>调解过程</w:t>
      </w:r>
      <w:bookmarkEnd w:id="29"/>
    </w:p>
    <w:p>
      <w:pPr>
        <w:pStyle w:val="40"/>
        <w:spacing w:before="156" w:beforeLines="0" w:after="156" w:afterLines="0"/>
        <w:rPr>
          <w:rFonts w:hint="eastAsia"/>
          <w:lang w:eastAsia="zh-CN"/>
        </w:rPr>
      </w:pPr>
      <w:bookmarkStart w:id="30" w:name="_Toc30021"/>
      <w:r>
        <w:rPr>
          <w:rFonts w:hint="eastAsia"/>
          <w:lang w:eastAsia="zh-CN"/>
        </w:rPr>
        <w:t>接收</w:t>
      </w:r>
      <w:bookmarkEnd w:id="30"/>
    </w:p>
    <w:p>
      <w:pPr>
        <w:pStyle w:val="138"/>
        <w:rPr>
          <w:rFonts w:hint="eastAsia"/>
          <w:lang w:eastAsia="zh-CN"/>
        </w:rPr>
      </w:pPr>
      <w:r>
        <w:rPr>
          <w:rFonts w:hint="eastAsia"/>
          <w:lang w:eastAsia="zh-CN"/>
        </w:rPr>
        <w:t>调解服务机构接收自然人、法人或非法人组织之间涉及知识产权的纠纷，主要包括以下内容:</w:t>
      </w:r>
    </w:p>
    <w:p>
      <w:pPr>
        <w:pStyle w:val="46"/>
        <w:rPr>
          <w:rFonts w:hint="eastAsia"/>
          <w:szCs w:val="22"/>
          <w:lang w:eastAsia="zh-CN"/>
        </w:rPr>
      </w:pPr>
      <w:r>
        <w:rPr>
          <w:rFonts w:hint="eastAsia"/>
          <w:lang w:eastAsia="zh-CN"/>
        </w:rPr>
        <w:t>知识产权相关的合同纠纷；</w:t>
      </w:r>
    </w:p>
    <w:p>
      <w:pPr>
        <w:pStyle w:val="46"/>
        <w:rPr>
          <w:rFonts w:hint="eastAsia"/>
          <w:szCs w:val="22"/>
          <w:lang w:eastAsia="zh-CN"/>
        </w:rPr>
      </w:pPr>
      <w:r>
        <w:rPr>
          <w:rFonts w:hint="eastAsia"/>
          <w:szCs w:val="22"/>
          <w:lang w:eastAsia="zh-CN"/>
        </w:rPr>
        <w:t>知识产权侵权纠纷；</w:t>
      </w:r>
    </w:p>
    <w:p>
      <w:pPr>
        <w:pStyle w:val="46"/>
        <w:rPr>
          <w:rFonts w:hint="eastAsia"/>
          <w:szCs w:val="22"/>
          <w:lang w:eastAsia="zh-CN"/>
        </w:rPr>
      </w:pPr>
      <w:r>
        <w:rPr>
          <w:rFonts w:hint="eastAsia"/>
          <w:szCs w:val="22"/>
          <w:lang w:eastAsia="zh-CN"/>
        </w:rPr>
        <w:t>知识产权权属纠纷；</w:t>
      </w:r>
    </w:p>
    <w:p>
      <w:pPr>
        <w:pStyle w:val="46"/>
        <w:rPr>
          <w:rFonts w:hint="eastAsia"/>
          <w:szCs w:val="22"/>
          <w:lang w:eastAsia="zh-CN"/>
        </w:rPr>
      </w:pPr>
      <w:r>
        <w:rPr>
          <w:rFonts w:hint="eastAsia"/>
          <w:szCs w:val="22"/>
          <w:lang w:eastAsia="zh-CN"/>
        </w:rPr>
        <w:t>与知识产权有关的竞争纠纷；</w:t>
      </w:r>
    </w:p>
    <w:p>
      <w:pPr>
        <w:pStyle w:val="46"/>
        <w:rPr>
          <w:rFonts w:hint="eastAsia"/>
          <w:szCs w:val="22"/>
          <w:lang w:eastAsia="zh-CN"/>
        </w:rPr>
      </w:pPr>
      <w:r>
        <w:rPr>
          <w:rFonts w:hint="eastAsia"/>
          <w:szCs w:val="22"/>
          <w:lang w:eastAsia="zh-CN"/>
        </w:rPr>
        <w:t>其他知识产权纠纷。</w:t>
      </w:r>
    </w:p>
    <w:p>
      <w:pPr>
        <w:pStyle w:val="138"/>
        <w:rPr>
          <w:rFonts w:hint="eastAsia"/>
          <w:lang w:eastAsia="zh-CN"/>
        </w:rPr>
      </w:pPr>
      <w:r>
        <w:rPr>
          <w:rFonts w:hint="eastAsia"/>
          <w:lang w:eastAsia="zh-CN"/>
        </w:rPr>
        <w:t>调解服务机构宜接收以下调解案源:</w:t>
      </w:r>
    </w:p>
    <w:p>
      <w:pPr>
        <w:pStyle w:val="46"/>
        <w:rPr>
          <w:rFonts w:hint="eastAsia"/>
          <w:lang w:eastAsia="zh-CN"/>
        </w:rPr>
      </w:pPr>
      <w:r>
        <w:rPr>
          <w:rFonts w:hint="eastAsia"/>
          <w:lang w:eastAsia="zh-CN"/>
        </w:rPr>
        <w:t>当事人向调解服务机构申请调解的；</w:t>
      </w:r>
    </w:p>
    <w:p>
      <w:pPr>
        <w:pStyle w:val="46"/>
        <w:rPr>
          <w:rFonts w:hint="eastAsia"/>
          <w:lang w:eastAsia="zh-CN"/>
        </w:rPr>
      </w:pPr>
      <w:r>
        <w:rPr>
          <w:rFonts w:hint="eastAsia"/>
          <w:lang w:eastAsia="zh-CN"/>
        </w:rPr>
        <w:t>人民法院、公安机关、知识产权行政部门委托调解服务机构调解的；</w:t>
      </w:r>
    </w:p>
    <w:p>
      <w:pPr>
        <w:pStyle w:val="46"/>
        <w:rPr>
          <w:rFonts w:hint="eastAsia"/>
          <w:lang w:eastAsia="zh-CN"/>
        </w:rPr>
      </w:pPr>
      <w:r>
        <w:rPr>
          <w:rFonts w:hint="eastAsia"/>
          <w:lang w:eastAsia="zh-CN"/>
        </w:rPr>
        <w:t>知识产权行政管理部门委托调解服务机构调解的；</w:t>
      </w:r>
    </w:p>
    <w:p>
      <w:pPr>
        <w:pStyle w:val="46"/>
        <w:rPr>
          <w:rFonts w:hint="eastAsia"/>
          <w:lang w:eastAsia="zh-CN"/>
        </w:rPr>
      </w:pPr>
      <w:r>
        <w:rPr>
          <w:rFonts w:hint="eastAsia"/>
          <w:lang w:eastAsia="zh-CN"/>
        </w:rPr>
        <w:t>调解服务机构主动调解的；</w:t>
      </w:r>
    </w:p>
    <w:p>
      <w:pPr>
        <w:pStyle w:val="46"/>
        <w:rPr>
          <w:rFonts w:hint="eastAsia"/>
          <w:lang w:eastAsia="zh-CN"/>
        </w:rPr>
      </w:pPr>
      <w:r>
        <w:rPr>
          <w:rFonts w:hint="eastAsia"/>
          <w:lang w:eastAsia="zh-CN"/>
        </w:rPr>
        <w:t>其他符合调解范围的。</w:t>
      </w:r>
    </w:p>
    <w:p>
      <w:pPr>
        <w:pStyle w:val="138"/>
        <w:rPr>
          <w:rFonts w:hint="eastAsia"/>
          <w:lang w:val="en-US" w:eastAsia="zh-CN"/>
        </w:rPr>
      </w:pPr>
      <w:r>
        <w:rPr>
          <w:rFonts w:hint="eastAsia"/>
          <w:lang w:val="en-US" w:eastAsia="zh-CN"/>
        </w:rPr>
        <w:t>调解服务机构接受申请人通过现场、网络、电话、传真等途径提出的调解申请。</w:t>
      </w:r>
    </w:p>
    <w:p>
      <w:pPr>
        <w:pStyle w:val="138"/>
        <w:rPr>
          <w:rFonts w:hint="eastAsia"/>
          <w:color w:val="auto"/>
          <w:lang w:val="en-US" w:eastAsia="zh-CN"/>
        </w:rPr>
      </w:pPr>
      <w:r>
        <w:rPr>
          <w:rFonts w:hint="eastAsia"/>
          <w:lang w:val="en-US" w:eastAsia="zh-CN"/>
        </w:rPr>
        <w:t>调解服务机构应引导申请人完整清晰地表达事</w:t>
      </w:r>
      <w:r>
        <w:rPr>
          <w:rFonts w:hint="eastAsia"/>
          <w:color w:val="auto"/>
          <w:lang w:val="en-US" w:eastAsia="zh-CN"/>
        </w:rPr>
        <w:t>实和理由，指导申请人填写《知识产权纠纷调解申请书》，并由申请人或授权代表签名、盖章。</w:t>
      </w:r>
    </w:p>
    <w:p>
      <w:pPr>
        <w:pStyle w:val="138"/>
        <w:rPr>
          <w:rFonts w:hint="eastAsia"/>
          <w:lang w:val="en-US" w:eastAsia="zh-CN"/>
        </w:rPr>
      </w:pPr>
      <w:r>
        <w:rPr>
          <w:rFonts w:hint="eastAsia"/>
          <w:color w:val="auto"/>
          <w:lang w:val="en-US" w:eastAsia="zh-CN"/>
        </w:rPr>
        <w:t>调解服务机构在接收到调解申请后，在</w:t>
      </w:r>
      <w:r>
        <w:rPr>
          <w:rFonts w:hint="eastAsia"/>
          <w:color w:val="FF0000"/>
          <w:lang w:val="en-US" w:eastAsia="zh-CN"/>
        </w:rPr>
        <w:t>5</w:t>
      </w:r>
      <w:r>
        <w:rPr>
          <w:rFonts w:hint="eastAsia"/>
          <w:color w:val="auto"/>
          <w:lang w:val="en-US" w:eastAsia="zh-CN"/>
        </w:rPr>
        <w:t>个工作日</w:t>
      </w:r>
      <w:r>
        <w:rPr>
          <w:rFonts w:hint="eastAsia"/>
          <w:lang w:val="en-US" w:eastAsia="zh-CN"/>
        </w:rPr>
        <w:t>内进行审核，了解申请人与被申请人的主体资格、申请事项，判断是否符合接收条件，并对申请人提交的身份证明、证据等材料进行核实。符合接收条件，且申请材料齐全的，予以接收。材料不全或不符合要求的，一次性告知申请人所需补正的材料。不符合接收条件的，告知当事人可以依法通过仲裁、行政、司法等途径解决。</w:t>
      </w:r>
    </w:p>
    <w:p>
      <w:pPr>
        <w:pStyle w:val="138"/>
        <w:rPr>
          <w:rFonts w:hint="eastAsia"/>
          <w:lang w:val="en-US" w:eastAsia="zh-CN"/>
        </w:rPr>
      </w:pPr>
      <w:r>
        <w:rPr>
          <w:rFonts w:hint="eastAsia"/>
          <w:lang w:val="en-US" w:eastAsia="zh-CN"/>
        </w:rPr>
        <w:t>调解服务机构可根据需求设立特别接收程序。如进驻展会调解展会知识产权纠纷，当事人可以在展会现场递交调解申请书，经现场快速判断符合接收条件的，予以接收。</w:t>
      </w:r>
    </w:p>
    <w:p>
      <w:pPr>
        <w:pStyle w:val="40"/>
        <w:spacing w:before="156" w:beforeLines="0" w:after="156" w:afterLines="0"/>
        <w:rPr>
          <w:rFonts w:hint="eastAsia"/>
          <w:lang w:val="en-US" w:eastAsia="zh-CN"/>
        </w:rPr>
      </w:pPr>
      <w:bookmarkStart w:id="31" w:name="_Toc30697"/>
      <w:r>
        <w:rPr>
          <w:rFonts w:hint="eastAsia"/>
          <w:lang w:val="en-US" w:eastAsia="zh-CN"/>
        </w:rPr>
        <w:t>受理</w:t>
      </w:r>
      <w:bookmarkEnd w:id="31"/>
    </w:p>
    <w:p>
      <w:pPr>
        <w:pStyle w:val="138"/>
        <w:rPr>
          <w:rFonts w:hint="eastAsia"/>
          <w:lang w:val="en-US" w:eastAsia="zh-CN"/>
        </w:rPr>
      </w:pPr>
      <w:r>
        <w:rPr>
          <w:rFonts w:hint="eastAsia"/>
          <w:lang w:val="en-US" w:eastAsia="zh-CN"/>
        </w:rPr>
        <w:t>调解服务机构在接到调解申请或委托等调解需求时，对符合调解接收条件的，予以接收，并征求被申请人的调解意愿。调解服务机构应当在5个工作日内将调解意愿征询书、调解申请书副本以及相关材料副本送达被申请人，要求其在收到调解意愿征询书之日起5个工作日内提交调解回执或意见陈述书，表明是否同意调解。</w:t>
      </w:r>
    </w:p>
    <w:p>
      <w:pPr>
        <w:pStyle w:val="138"/>
        <w:rPr>
          <w:rFonts w:hint="eastAsia"/>
          <w:lang w:val="en-US" w:eastAsia="zh-CN"/>
        </w:rPr>
      </w:pPr>
      <w:r>
        <w:rPr>
          <w:rFonts w:hint="eastAsia"/>
          <w:lang w:val="en-US" w:eastAsia="zh-CN"/>
        </w:rPr>
        <w:t>双方当事人同意调解的，调解服务机构予以受理，并填写《知识产权纠纷调解受理登记表》，由双方当事人签字(盖章)确认，并告知双方当事人做好调解准备。</w:t>
      </w:r>
    </w:p>
    <w:p>
      <w:pPr>
        <w:pStyle w:val="138"/>
        <w:rPr>
          <w:rFonts w:hint="eastAsia"/>
          <w:lang w:val="en-US" w:eastAsia="zh-CN"/>
        </w:rPr>
      </w:pPr>
      <w:r>
        <w:rPr>
          <w:rFonts w:hint="eastAsia"/>
          <w:lang w:val="en-US" w:eastAsia="zh-CN"/>
        </w:rPr>
        <w:t>被申请人逾期未提交调解回执或意见陈述书，且未通过其他方式向调解服务机构反馈调解意愿的，或者在调解回执或意见陈述书中表示不接受调解的，调解服务机构可在收到调解回执或意见陈述书</w:t>
      </w:r>
    </w:p>
    <w:p>
      <w:pPr>
        <w:pStyle w:val="138"/>
        <w:numPr>
          <w:ilvl w:val="0"/>
          <w:numId w:val="0"/>
        </w:numPr>
        <w:rPr>
          <w:rFonts w:hint="eastAsia"/>
          <w:lang w:val="en-US" w:eastAsia="zh-CN"/>
        </w:rPr>
      </w:pPr>
      <w:r>
        <w:rPr>
          <w:rFonts w:hint="eastAsia"/>
          <w:lang w:val="en-US" w:eastAsia="zh-CN"/>
        </w:rPr>
        <w:t>当日，或在期限届满日，向被申请人再次确认调解意愿。</w:t>
      </w:r>
    </w:p>
    <w:p>
      <w:pPr>
        <w:pStyle w:val="138"/>
        <w:rPr>
          <w:rFonts w:hint="eastAsia"/>
          <w:lang w:val="en-US" w:eastAsia="zh-CN"/>
        </w:rPr>
      </w:pPr>
      <w:r>
        <w:rPr>
          <w:rFonts w:hint="eastAsia"/>
          <w:lang w:val="en-US" w:eastAsia="zh-CN"/>
        </w:rPr>
        <w:t>被申请人不同意调解的，调解服务机构以不予受理结案，并应及时告知申请人不予受理的理由，同时告知其可依法通过仲裁、行政、司法等途径解决纠纷。对法院、知识产权行政管理等部门委托的调解案件，因当事人不同意调解或无法取得联系而不予受理的，应及时向委托部门反馈。</w:t>
      </w:r>
    </w:p>
    <w:p>
      <w:pPr>
        <w:pStyle w:val="40"/>
        <w:spacing w:before="156" w:beforeLines="0" w:after="156" w:afterLines="0"/>
        <w:rPr>
          <w:rFonts w:hint="eastAsia"/>
          <w:lang w:val="en-US" w:eastAsia="zh-CN"/>
        </w:rPr>
      </w:pPr>
      <w:bookmarkStart w:id="32" w:name="_Toc28801"/>
      <w:r>
        <w:rPr>
          <w:rFonts w:hint="eastAsia"/>
          <w:lang w:val="en-US" w:eastAsia="zh-CN"/>
        </w:rPr>
        <w:t>调解处理</w:t>
      </w:r>
      <w:bookmarkEnd w:id="32"/>
    </w:p>
    <w:p>
      <w:pPr>
        <w:pStyle w:val="44"/>
        <w:spacing w:before="156" w:beforeLines="0" w:after="156" w:afterLines="0"/>
        <w:rPr>
          <w:rFonts w:hint="eastAsia"/>
          <w:lang w:val="en-US" w:eastAsia="zh-CN"/>
        </w:rPr>
      </w:pPr>
      <w:r>
        <w:rPr>
          <w:rFonts w:hint="eastAsia"/>
          <w:lang w:val="en-US" w:eastAsia="zh-CN"/>
        </w:rPr>
        <w:t>调解前准备</w:t>
      </w:r>
    </w:p>
    <w:p>
      <w:pPr>
        <w:pStyle w:val="110"/>
        <w:rPr>
          <w:rFonts w:hint="eastAsia"/>
          <w:lang w:val="en-US" w:eastAsia="zh-CN"/>
        </w:rPr>
      </w:pPr>
      <w:r>
        <w:rPr>
          <w:rFonts w:hint="eastAsia"/>
          <w:lang w:val="en-US" w:eastAsia="zh-CN"/>
        </w:rPr>
        <w:t>调解服务机构应当自受理之日起</w:t>
      </w:r>
      <w:r>
        <w:rPr>
          <w:rFonts w:hint="eastAsia"/>
          <w:color w:val="auto"/>
          <w:lang w:val="en-US" w:eastAsia="zh-CN"/>
        </w:rPr>
        <w:t>5</w:t>
      </w:r>
      <w:r>
        <w:rPr>
          <w:rFonts w:hint="eastAsia"/>
          <w:lang w:val="en-US" w:eastAsia="zh-CN"/>
        </w:rPr>
        <w:t>个工作日内组织双方当事人选定调解员，或明确提出调解员的选择条件，由调解服务机构推荐调解员。逾期不能选定的，由调解服务机构指派调解员进行调解。</w:t>
      </w:r>
    </w:p>
    <w:p>
      <w:pPr>
        <w:pStyle w:val="110"/>
        <w:rPr>
          <w:rFonts w:hint="eastAsia"/>
          <w:lang w:val="en-US" w:eastAsia="zh-CN"/>
        </w:rPr>
      </w:pPr>
      <w:r>
        <w:rPr>
          <w:rFonts w:hint="eastAsia"/>
          <w:lang w:val="en-US" w:eastAsia="zh-CN"/>
        </w:rPr>
        <w:t>调解服务机构应根据知识产权纠纷调解的需要，由当事人选定或调解服务机构指定调解员组成调解组，负责个案的调解工作。调解员应分别向双方当事人询问纠纷的有关情况，了解双方的具体要求和理由，根据需要询问纠纷知情人，向有关方面调查核实，并对调查的情况进行记录。</w:t>
      </w:r>
    </w:p>
    <w:p>
      <w:pPr>
        <w:pStyle w:val="110"/>
        <w:rPr>
          <w:rFonts w:hint="eastAsia"/>
          <w:lang w:val="en-US" w:eastAsia="zh-CN"/>
        </w:rPr>
      </w:pPr>
      <w:r>
        <w:rPr>
          <w:rFonts w:hint="eastAsia"/>
          <w:lang w:val="en-US" w:eastAsia="zh-CN"/>
        </w:rPr>
        <w:t>调解员应查阅相关法律法规，对涉案的知识产权进行检索分析，查明知识产权的权属、法律状态，分析其有效性、稳定性等，并根据掌握的纠纷情况，理清事实和法律问题，拟定调解方案。</w:t>
      </w:r>
    </w:p>
    <w:p>
      <w:pPr>
        <w:pStyle w:val="110"/>
        <w:rPr>
          <w:rFonts w:hint="eastAsia"/>
          <w:lang w:val="en-US" w:eastAsia="zh-CN"/>
        </w:rPr>
      </w:pPr>
      <w:r>
        <w:rPr>
          <w:rFonts w:hint="eastAsia"/>
          <w:lang w:val="en-US" w:eastAsia="zh-CN"/>
        </w:rPr>
        <w:t>调解服务机构应通知双方当事人在指定时间内告知出席调解会议人员名单和身份。纠纷一方当事人人数为10人以上的，调解服务机构应通知当事人推选5名以下当事人作为代表人参加调解，并确定1名主要代表人。</w:t>
      </w:r>
    </w:p>
    <w:p>
      <w:pPr>
        <w:pStyle w:val="110"/>
        <w:rPr>
          <w:rFonts w:hint="eastAsia"/>
          <w:lang w:val="en-US" w:eastAsia="zh-CN"/>
        </w:rPr>
      </w:pPr>
      <w:r>
        <w:rPr>
          <w:rFonts w:hint="eastAsia"/>
          <w:lang w:val="en-US" w:eastAsia="zh-CN"/>
        </w:rPr>
        <w:t>调解服务机构可在适当的情况下安排调解前会议，商讨调解的方式和程序，包括设定有关时限。调解前会议可通过面议、电话、视频或其他方式进行。</w:t>
      </w:r>
    </w:p>
    <w:p>
      <w:pPr>
        <w:pStyle w:val="110"/>
        <w:rPr>
          <w:rFonts w:hint="eastAsia"/>
          <w:lang w:val="en-US" w:eastAsia="zh-CN"/>
        </w:rPr>
      </w:pPr>
      <w:r>
        <w:rPr>
          <w:rFonts w:hint="eastAsia"/>
          <w:lang w:val="en-US" w:eastAsia="zh-CN"/>
        </w:rPr>
        <w:t>调解服务机构应通知双方当事人在调解前，将案件的陈述书和有关证据材料提交调解服务机</w:t>
      </w:r>
    </w:p>
    <w:p>
      <w:pPr>
        <w:pStyle w:val="110"/>
        <w:numPr>
          <w:ilvl w:val="0"/>
          <w:numId w:val="0"/>
        </w:numPr>
        <w:rPr>
          <w:rFonts w:hint="eastAsia"/>
          <w:lang w:val="en-US" w:eastAsia="zh-CN"/>
        </w:rPr>
      </w:pPr>
      <w:r>
        <w:rPr>
          <w:rFonts w:hint="eastAsia"/>
          <w:lang w:val="en-US" w:eastAsia="zh-CN"/>
        </w:rPr>
        <w:t>构，并组织双方互相交换证据材料，对纠纷事实不清楚的可进行询问、调查。</w:t>
      </w:r>
    </w:p>
    <w:p>
      <w:pPr>
        <w:pStyle w:val="110"/>
        <w:rPr>
          <w:rFonts w:hint="eastAsia"/>
          <w:lang w:val="en-US" w:eastAsia="zh-CN"/>
        </w:rPr>
      </w:pPr>
      <w:r>
        <w:rPr>
          <w:rFonts w:hint="eastAsia"/>
          <w:lang w:val="en-US" w:eastAsia="zh-CN"/>
        </w:rPr>
        <w:t>调解员遇到疑难知识产权纠纷案件，应主动向调解服务机构负责人报告，调解服务机构组织对案件进行研讨与合议，必要时可咨询相关专家的意见。</w:t>
      </w:r>
    </w:p>
    <w:p>
      <w:pPr>
        <w:pStyle w:val="110"/>
        <w:rPr>
          <w:rFonts w:hint="eastAsia"/>
          <w:lang w:val="en-US" w:eastAsia="zh-CN"/>
        </w:rPr>
      </w:pPr>
      <w:r>
        <w:rPr>
          <w:rFonts w:hint="eastAsia"/>
          <w:lang w:val="en-US" w:eastAsia="zh-CN"/>
        </w:rPr>
        <w:t>现场调解的，调解服务机构应通知双方当事人调解的时间、地点、调解员姓名等信息。</w:t>
      </w:r>
    </w:p>
    <w:p>
      <w:pPr>
        <w:pStyle w:val="110"/>
        <w:rPr>
          <w:rFonts w:hint="eastAsia"/>
          <w:lang w:val="en-US" w:eastAsia="zh-CN"/>
        </w:rPr>
      </w:pPr>
      <w:r>
        <w:rPr>
          <w:rFonts w:hint="eastAsia"/>
          <w:lang w:val="en-US" w:eastAsia="zh-CN"/>
        </w:rPr>
        <w:t>调解员应对可能影响其调解公正的情形，及时、主动地向调解服务机构及当事人披露，并主动申请回避；当事人对调解员提出回避要求的，理由充分合理，调解服务机构应予以调换。</w:t>
      </w:r>
    </w:p>
    <w:p>
      <w:pPr>
        <w:pStyle w:val="110"/>
        <w:rPr>
          <w:rFonts w:hint="eastAsia"/>
          <w:lang w:val="en-US" w:eastAsia="zh-CN"/>
        </w:rPr>
      </w:pPr>
      <w:r>
        <w:rPr>
          <w:rFonts w:hint="eastAsia"/>
          <w:lang w:val="en-US" w:eastAsia="zh-CN"/>
        </w:rPr>
        <w:t>调解员存在下列需要回避的情形之一的，应主动申请回避。需要回避的情形包括:</w:t>
      </w:r>
    </w:p>
    <w:p>
      <w:pPr>
        <w:pStyle w:val="57"/>
        <w:numPr>
          <w:ilvl w:val="0"/>
          <w:numId w:val="21"/>
        </w:numPr>
        <w:rPr>
          <w:rFonts w:hint="eastAsia"/>
          <w:lang w:val="en-US" w:eastAsia="zh-CN"/>
        </w:rPr>
      </w:pPr>
      <w:r>
        <w:rPr>
          <w:rFonts w:hint="eastAsia"/>
          <w:lang w:val="en-US" w:eastAsia="zh-CN"/>
        </w:rPr>
        <w:t>本纠纷的当事人或者与当事人有直系血亲、三代以内旁系血亲及姻亲关系的；</w:t>
      </w:r>
    </w:p>
    <w:p>
      <w:pPr>
        <w:pStyle w:val="57"/>
        <w:numPr>
          <w:ilvl w:val="0"/>
          <w:numId w:val="21"/>
        </w:numPr>
        <w:rPr>
          <w:rFonts w:hint="eastAsia"/>
          <w:szCs w:val="22"/>
          <w:lang w:val="en-US" w:eastAsia="zh-CN"/>
        </w:rPr>
      </w:pPr>
      <w:r>
        <w:rPr>
          <w:rFonts w:hint="eastAsia"/>
          <w:szCs w:val="22"/>
          <w:lang w:val="en-US" w:eastAsia="zh-CN"/>
        </w:rPr>
        <w:t>本人或其近亲属与本纠纷有利害关系；</w:t>
      </w:r>
    </w:p>
    <w:p>
      <w:pPr>
        <w:pStyle w:val="57"/>
        <w:numPr>
          <w:ilvl w:val="0"/>
          <w:numId w:val="21"/>
        </w:numPr>
        <w:rPr>
          <w:rFonts w:hint="eastAsia"/>
          <w:szCs w:val="22"/>
          <w:lang w:val="en-US" w:eastAsia="zh-CN"/>
        </w:rPr>
      </w:pPr>
      <w:r>
        <w:rPr>
          <w:rFonts w:hint="eastAsia"/>
          <w:szCs w:val="22"/>
          <w:lang w:val="en-US" w:eastAsia="zh-CN"/>
        </w:rPr>
        <w:t>本人与本纠纷当事人之间存在其他利害关系，可能影响调解公正处理的；</w:t>
      </w:r>
    </w:p>
    <w:p>
      <w:pPr>
        <w:pStyle w:val="57"/>
        <w:numPr>
          <w:ilvl w:val="0"/>
          <w:numId w:val="21"/>
        </w:numPr>
        <w:rPr>
          <w:rFonts w:hint="eastAsia"/>
          <w:szCs w:val="22"/>
          <w:lang w:val="en-US" w:eastAsia="zh-CN"/>
        </w:rPr>
      </w:pPr>
      <w:r>
        <w:rPr>
          <w:rFonts w:hint="eastAsia"/>
          <w:szCs w:val="22"/>
          <w:lang w:val="en-US" w:eastAsia="zh-CN"/>
        </w:rPr>
        <w:t>存在其他影响调解公正的事由。</w:t>
      </w:r>
    </w:p>
    <w:p>
      <w:pPr>
        <w:pStyle w:val="110"/>
        <w:rPr>
          <w:rFonts w:hint="eastAsia"/>
          <w:lang w:val="en-US" w:eastAsia="zh-CN"/>
        </w:rPr>
      </w:pPr>
      <w:r>
        <w:rPr>
          <w:rFonts w:hint="eastAsia"/>
          <w:lang w:val="en-US" w:eastAsia="zh-CN"/>
        </w:rPr>
        <w:t>调解服务机构应及时对回避事项做出决定，具体包括:</w:t>
      </w:r>
    </w:p>
    <w:p>
      <w:pPr>
        <w:pStyle w:val="57"/>
        <w:numPr>
          <w:ilvl w:val="0"/>
          <w:numId w:val="22"/>
        </w:numPr>
        <w:rPr>
          <w:rFonts w:hint="eastAsia"/>
          <w:szCs w:val="22"/>
          <w:lang w:eastAsia="zh-CN"/>
        </w:rPr>
      </w:pPr>
      <w:r>
        <w:rPr>
          <w:rFonts w:hint="eastAsia"/>
          <w:szCs w:val="22"/>
          <w:lang w:eastAsia="zh-CN"/>
        </w:rPr>
        <w:t>调解员应回避而没有主动回避，且当事人及其代理人也没有申请其回避的，调解服务机构应负责作出其回避的决定，并要求该调解员不得参与本纠纷案件；</w:t>
      </w:r>
    </w:p>
    <w:p>
      <w:pPr>
        <w:pStyle w:val="57"/>
        <w:numPr>
          <w:ilvl w:val="0"/>
          <w:numId w:val="22"/>
        </w:numPr>
        <w:rPr>
          <w:rFonts w:hint="eastAsia"/>
          <w:szCs w:val="22"/>
          <w:lang w:eastAsia="zh-CN"/>
        </w:rPr>
      </w:pPr>
      <w:r>
        <w:rPr>
          <w:rFonts w:hint="eastAsia"/>
          <w:szCs w:val="22"/>
          <w:lang w:eastAsia="zh-CN"/>
        </w:rPr>
        <w:t>当事人可以在调解开始时提出回避申请，回避事由在调解开始后知道的，也可以在签订调解协议前提出，当事人向调解服务机构提出回避申请的，应说明理由，经调解服务机构审核确应回避的，该调解员应予以回避，并暂停参与本纠纷的相关工作；</w:t>
      </w:r>
    </w:p>
    <w:p>
      <w:pPr>
        <w:pStyle w:val="57"/>
        <w:numPr>
          <w:ilvl w:val="0"/>
          <w:numId w:val="22"/>
        </w:numPr>
        <w:rPr>
          <w:rFonts w:hint="eastAsia"/>
          <w:szCs w:val="22"/>
          <w:lang w:eastAsia="zh-CN"/>
        </w:rPr>
      </w:pPr>
      <w:r>
        <w:rPr>
          <w:rFonts w:hint="eastAsia"/>
          <w:szCs w:val="22"/>
          <w:lang w:eastAsia="zh-CN"/>
        </w:rPr>
        <w:t>调解服务机构决定调解员的回避的，另行指派调解员负责纠纷的调解工作；</w:t>
      </w:r>
    </w:p>
    <w:p>
      <w:pPr>
        <w:pStyle w:val="57"/>
        <w:numPr>
          <w:ilvl w:val="0"/>
          <w:numId w:val="22"/>
        </w:numPr>
        <w:rPr>
          <w:rFonts w:hint="eastAsia"/>
          <w:szCs w:val="22"/>
          <w:lang w:eastAsia="zh-CN"/>
        </w:rPr>
      </w:pPr>
      <w:r>
        <w:rPr>
          <w:rFonts w:hint="eastAsia"/>
          <w:szCs w:val="22"/>
          <w:lang w:eastAsia="zh-CN"/>
        </w:rPr>
        <w:t>调解服务机构对当事人提出的回避申请，应在申请提出后的5个工作日内，以口头或书面形式作出决定并告知当事人。</w:t>
      </w:r>
    </w:p>
    <w:p>
      <w:pPr>
        <w:pStyle w:val="110"/>
        <w:rPr>
          <w:rFonts w:hint="eastAsia"/>
          <w:szCs w:val="22"/>
          <w:lang w:eastAsia="zh-CN"/>
        </w:rPr>
      </w:pPr>
      <w:r>
        <w:rPr>
          <w:rFonts w:hint="eastAsia"/>
          <w:lang w:val="en-US" w:eastAsia="zh-CN"/>
        </w:rPr>
        <w:t>当事人对调解服务机构的回避决定不服的，可在3个工作日内，向调解服务机构</w:t>
      </w:r>
      <w:r>
        <w:rPr>
          <w:rFonts w:hint="eastAsia"/>
          <w:szCs w:val="22"/>
          <w:lang w:eastAsia="zh-CN"/>
        </w:rPr>
        <w:t>提出复议。</w:t>
      </w:r>
    </w:p>
    <w:p>
      <w:pPr>
        <w:pStyle w:val="44"/>
        <w:spacing w:before="156" w:beforeLines="0" w:after="156" w:afterLines="0"/>
        <w:rPr>
          <w:rFonts w:hint="eastAsia"/>
          <w:lang w:val="en-US" w:eastAsia="zh-CN"/>
        </w:rPr>
      </w:pPr>
      <w:r>
        <w:rPr>
          <w:rFonts w:hint="eastAsia"/>
          <w:lang w:val="en-US" w:eastAsia="zh-CN"/>
        </w:rPr>
        <w:t>开展调解</w:t>
      </w:r>
    </w:p>
    <w:p>
      <w:pPr>
        <w:pStyle w:val="110"/>
        <w:rPr>
          <w:rFonts w:hint="eastAsia"/>
          <w:szCs w:val="22"/>
          <w:lang w:eastAsia="zh-CN"/>
        </w:rPr>
      </w:pPr>
      <w:r>
        <w:rPr>
          <w:rFonts w:hint="eastAsia"/>
          <w:szCs w:val="22"/>
          <w:lang w:eastAsia="zh-CN"/>
        </w:rPr>
        <w:t>调解员可通过电话、网络、现场会议等方式与双方当事人沟通，进行调解。</w:t>
      </w:r>
    </w:p>
    <w:p>
      <w:pPr>
        <w:pStyle w:val="110"/>
        <w:rPr>
          <w:rFonts w:hint="eastAsia"/>
          <w:szCs w:val="22"/>
          <w:lang w:eastAsia="zh-CN"/>
        </w:rPr>
      </w:pPr>
      <w:r>
        <w:rPr>
          <w:rFonts w:hint="eastAsia"/>
          <w:szCs w:val="22"/>
          <w:lang w:eastAsia="zh-CN"/>
        </w:rPr>
        <w:t>调解员应当核对当事人身份，除当事人同意外，其他任何人不可出席调解。</w:t>
      </w:r>
    </w:p>
    <w:p>
      <w:pPr>
        <w:pStyle w:val="110"/>
        <w:rPr>
          <w:rFonts w:hint="eastAsia"/>
          <w:szCs w:val="22"/>
          <w:lang w:eastAsia="zh-CN"/>
        </w:rPr>
      </w:pPr>
      <w:r>
        <w:rPr>
          <w:rFonts w:hint="eastAsia"/>
          <w:szCs w:val="22"/>
          <w:lang w:eastAsia="zh-CN"/>
        </w:rPr>
        <w:t>调解员应当宣布调解纪律、当事人的权利和义务、调解员、记录人的身份，并询问当事人是否申请回避。回避事由属实的，被申请回避的相关调解员、记录人应当回避。</w:t>
      </w:r>
    </w:p>
    <w:p>
      <w:pPr>
        <w:pStyle w:val="110"/>
        <w:rPr>
          <w:rFonts w:hint="eastAsia"/>
          <w:szCs w:val="22"/>
          <w:lang w:eastAsia="zh-CN"/>
        </w:rPr>
      </w:pPr>
      <w:r>
        <w:rPr>
          <w:rFonts w:hint="eastAsia"/>
          <w:szCs w:val="22"/>
          <w:lang w:eastAsia="zh-CN"/>
        </w:rPr>
        <w:t>调解员应充分听取双方当事人对争议事实和理由的陈述，核对证据材料，根据需要进行调查核实。</w:t>
      </w:r>
    </w:p>
    <w:p>
      <w:pPr>
        <w:pStyle w:val="110"/>
        <w:rPr>
          <w:rFonts w:hint="eastAsia"/>
          <w:szCs w:val="22"/>
          <w:lang w:eastAsia="zh-CN"/>
        </w:rPr>
      </w:pPr>
      <w:r>
        <w:rPr>
          <w:rFonts w:hint="eastAsia"/>
          <w:szCs w:val="22"/>
          <w:lang w:eastAsia="zh-CN"/>
        </w:rPr>
        <w:t>调解员应归纳总结，找出争议焦点，在分清责任和是非的基础上，讲解有关法律法规政策，适时提出调解建议。</w:t>
      </w:r>
    </w:p>
    <w:p>
      <w:pPr>
        <w:pStyle w:val="110"/>
        <w:rPr>
          <w:rFonts w:hint="eastAsia"/>
          <w:szCs w:val="22"/>
          <w:lang w:eastAsia="zh-CN"/>
        </w:rPr>
      </w:pPr>
      <w:r>
        <w:rPr>
          <w:rFonts w:hint="eastAsia"/>
          <w:szCs w:val="22"/>
          <w:lang w:eastAsia="zh-CN"/>
        </w:rPr>
        <w:t>调解员应采取适当方法，灵活运用调解技巧，开展说服疏导工作，促使当事人平等协商、互谅互让、消除隔阂，引导当事人和解并自愿达成调解协议。</w:t>
      </w:r>
    </w:p>
    <w:p>
      <w:pPr>
        <w:pStyle w:val="110"/>
        <w:rPr>
          <w:rFonts w:hint="eastAsia"/>
          <w:szCs w:val="22"/>
          <w:lang w:eastAsia="zh-CN"/>
        </w:rPr>
      </w:pPr>
      <w:r>
        <w:rPr>
          <w:rFonts w:hint="eastAsia"/>
          <w:szCs w:val="22"/>
          <w:lang w:eastAsia="zh-CN"/>
        </w:rPr>
        <w:t>涉及专业性较强的知识产权纠纷或者相关当事人对纠纷存在重大分歧的，调解服务机构可以</w:t>
      </w:r>
    </w:p>
    <w:p>
      <w:pPr>
        <w:pStyle w:val="110"/>
        <w:numPr>
          <w:ilvl w:val="3"/>
          <w:numId w:val="0"/>
        </w:numPr>
        <w:ind w:leftChars="0"/>
        <w:rPr>
          <w:rFonts w:hint="eastAsia"/>
          <w:szCs w:val="22"/>
          <w:lang w:eastAsia="zh-CN"/>
        </w:rPr>
      </w:pPr>
      <w:r>
        <w:rPr>
          <w:rFonts w:hint="eastAsia"/>
          <w:szCs w:val="22"/>
          <w:lang w:eastAsia="zh-CN"/>
        </w:rPr>
        <w:t>聘请技术专家协助调解，但应征得相关当事人同意。</w:t>
      </w:r>
    </w:p>
    <w:p>
      <w:pPr>
        <w:pStyle w:val="110"/>
        <w:rPr>
          <w:rFonts w:hint="eastAsia"/>
          <w:szCs w:val="22"/>
          <w:lang w:eastAsia="zh-CN"/>
        </w:rPr>
      </w:pPr>
      <w:r>
        <w:rPr>
          <w:rFonts w:hint="eastAsia"/>
          <w:szCs w:val="22"/>
          <w:lang w:eastAsia="zh-CN"/>
        </w:rPr>
        <w:t>调解服务机构调解纠纷，应自受理之日起60个自然日内结束。有特殊情况需要延期的，双方当事人同意延期的可以延长。</w:t>
      </w:r>
    </w:p>
    <w:p>
      <w:pPr>
        <w:pStyle w:val="110"/>
        <w:rPr>
          <w:rFonts w:hint="eastAsia"/>
          <w:color w:val="auto"/>
          <w:szCs w:val="22"/>
          <w:lang w:eastAsia="zh-CN"/>
        </w:rPr>
      </w:pPr>
      <w:r>
        <w:rPr>
          <w:rFonts w:hint="eastAsia"/>
          <w:szCs w:val="22"/>
          <w:lang w:eastAsia="zh-CN"/>
        </w:rPr>
        <w:t>调解过程中，调解服务机构应</w:t>
      </w:r>
      <w:r>
        <w:rPr>
          <w:rFonts w:hint="eastAsia"/>
          <w:color w:val="auto"/>
          <w:szCs w:val="22"/>
          <w:lang w:eastAsia="zh-CN"/>
        </w:rPr>
        <w:t>进行记录并填写《调解记录》，清楚记载调解过程，以及纠纷当事人无争议事实和证据，并由双方当事人与调解员签字盖章或按指印确认。</w:t>
      </w:r>
    </w:p>
    <w:p>
      <w:pPr>
        <w:pStyle w:val="110"/>
        <w:rPr>
          <w:rFonts w:hint="eastAsia"/>
          <w:szCs w:val="22"/>
          <w:lang w:eastAsia="zh-CN"/>
        </w:rPr>
      </w:pPr>
      <w:r>
        <w:rPr>
          <w:rFonts w:hint="eastAsia"/>
          <w:szCs w:val="22"/>
          <w:lang w:eastAsia="zh-CN"/>
        </w:rPr>
        <w:t>调解员调解纠纷时，发现纠纷可能激化的，应采取控制调解节奏、避免当事人接触、疏导当事人情绪等方法，防止当事人采取过激行为；对有可能引起治安案件或者刑事案件的，应及时向当地公安机关和其他有关部门报告。</w:t>
      </w:r>
    </w:p>
    <w:p>
      <w:pPr>
        <w:pStyle w:val="44"/>
        <w:spacing w:before="156" w:beforeLines="0" w:after="156" w:afterLines="0"/>
        <w:rPr>
          <w:rFonts w:hint="eastAsia"/>
          <w:color w:val="auto"/>
          <w:szCs w:val="22"/>
          <w:lang w:eastAsia="zh-CN"/>
        </w:rPr>
      </w:pPr>
      <w:r>
        <w:rPr>
          <w:rFonts w:hint="eastAsia"/>
          <w:szCs w:val="22"/>
          <w:lang w:eastAsia="zh-CN"/>
        </w:rPr>
        <w:t>调解终结</w:t>
      </w:r>
    </w:p>
    <w:p>
      <w:pPr>
        <w:pStyle w:val="110"/>
        <w:rPr>
          <w:rFonts w:hint="eastAsia"/>
          <w:color w:val="auto"/>
          <w:lang w:eastAsia="zh-CN"/>
        </w:rPr>
      </w:pPr>
      <w:r>
        <w:rPr>
          <w:rFonts w:hint="eastAsia"/>
          <w:color w:val="auto"/>
          <w:lang w:eastAsia="zh-CN"/>
        </w:rPr>
        <w:t>当事人通过调解达成协议，并一致同意书面方式签订调解协议的，调解服务机构应制作《调解协议书》。调解协议书可以载明下列事项:</w:t>
      </w:r>
    </w:p>
    <w:p>
      <w:pPr>
        <w:pStyle w:val="57"/>
        <w:numPr>
          <w:ilvl w:val="0"/>
          <w:numId w:val="23"/>
        </w:numPr>
        <w:rPr>
          <w:rFonts w:hint="eastAsia"/>
          <w:color w:val="auto"/>
          <w:szCs w:val="22"/>
          <w:lang w:eastAsia="zh-CN"/>
        </w:rPr>
      </w:pPr>
      <w:r>
        <w:rPr>
          <w:rFonts w:hint="eastAsia"/>
          <w:color w:val="auto"/>
          <w:szCs w:val="22"/>
          <w:lang w:eastAsia="zh-CN"/>
        </w:rPr>
        <w:t>当事人及其委托代理人的基本情况；</w:t>
      </w:r>
    </w:p>
    <w:p>
      <w:pPr>
        <w:pStyle w:val="57"/>
        <w:numPr>
          <w:ilvl w:val="0"/>
          <w:numId w:val="23"/>
        </w:numPr>
        <w:rPr>
          <w:rFonts w:hint="eastAsia"/>
          <w:szCs w:val="22"/>
          <w:lang w:eastAsia="zh-CN"/>
        </w:rPr>
      </w:pPr>
      <w:r>
        <w:rPr>
          <w:rFonts w:hint="eastAsia"/>
          <w:szCs w:val="22"/>
          <w:lang w:eastAsia="zh-CN"/>
        </w:rPr>
        <w:t>纠纷的主要事实、争议事项；</w:t>
      </w:r>
    </w:p>
    <w:p>
      <w:pPr>
        <w:pStyle w:val="57"/>
        <w:numPr>
          <w:ilvl w:val="0"/>
          <w:numId w:val="23"/>
        </w:numPr>
        <w:rPr>
          <w:rFonts w:hint="eastAsia"/>
          <w:szCs w:val="22"/>
          <w:lang w:eastAsia="zh-CN"/>
        </w:rPr>
      </w:pPr>
      <w:r>
        <w:rPr>
          <w:rFonts w:hint="eastAsia"/>
          <w:szCs w:val="22"/>
          <w:lang w:eastAsia="zh-CN"/>
        </w:rPr>
        <w:t>当事人经调解达成的协议内容、履行的方式和时限；</w:t>
      </w:r>
    </w:p>
    <w:p>
      <w:pPr>
        <w:pStyle w:val="57"/>
        <w:numPr>
          <w:ilvl w:val="0"/>
          <w:numId w:val="23"/>
        </w:numPr>
        <w:rPr>
          <w:rFonts w:hint="eastAsia"/>
          <w:szCs w:val="22"/>
          <w:lang w:eastAsia="zh-CN"/>
        </w:rPr>
      </w:pPr>
      <w:r>
        <w:rPr>
          <w:rFonts w:hint="eastAsia"/>
          <w:szCs w:val="22"/>
          <w:lang w:eastAsia="zh-CN"/>
        </w:rPr>
        <w:t>调解协议书的生效时间；</w:t>
      </w:r>
    </w:p>
    <w:p>
      <w:pPr>
        <w:pStyle w:val="57"/>
        <w:numPr>
          <w:ilvl w:val="0"/>
          <w:numId w:val="23"/>
        </w:numPr>
        <w:rPr>
          <w:rFonts w:hint="eastAsia"/>
          <w:szCs w:val="22"/>
          <w:lang w:eastAsia="zh-CN"/>
        </w:rPr>
      </w:pPr>
      <w:r>
        <w:rPr>
          <w:rFonts w:hint="eastAsia"/>
          <w:szCs w:val="22"/>
          <w:lang w:eastAsia="zh-CN"/>
        </w:rPr>
        <w:t>当事人违反调解协议的责任；</w:t>
      </w:r>
    </w:p>
    <w:p>
      <w:pPr>
        <w:pStyle w:val="57"/>
        <w:numPr>
          <w:ilvl w:val="0"/>
          <w:numId w:val="23"/>
        </w:numPr>
        <w:rPr>
          <w:rFonts w:hint="eastAsia"/>
          <w:szCs w:val="22"/>
          <w:lang w:eastAsia="zh-CN"/>
        </w:rPr>
      </w:pPr>
      <w:r>
        <w:rPr>
          <w:rFonts w:hint="eastAsia"/>
          <w:szCs w:val="22"/>
          <w:lang w:eastAsia="zh-CN"/>
        </w:rPr>
        <w:t>其他相关事项。</w:t>
      </w:r>
    </w:p>
    <w:p>
      <w:pPr>
        <w:pStyle w:val="110"/>
        <w:rPr>
          <w:rFonts w:hint="eastAsia"/>
          <w:lang w:eastAsia="zh-CN"/>
        </w:rPr>
      </w:pPr>
      <w:r>
        <w:rPr>
          <w:rFonts w:hint="eastAsia"/>
          <w:lang w:eastAsia="zh-CN"/>
        </w:rPr>
        <w:t>《调解协议书》应当由双方当事人及调解员签字盖章或按指印，同时加盖调解服务机构公章，并自签字盖章之日起生效。《调解协议书》由当事人各执一份，调解服务机构留存一份，委托调解的，交委托方留存一份。</w:t>
      </w:r>
    </w:p>
    <w:p>
      <w:pPr>
        <w:pStyle w:val="110"/>
        <w:rPr>
          <w:rFonts w:hint="eastAsia"/>
          <w:lang w:eastAsia="zh-CN"/>
        </w:rPr>
      </w:pPr>
      <w:r>
        <w:rPr>
          <w:rFonts w:hint="eastAsia"/>
          <w:lang w:eastAsia="zh-CN"/>
        </w:rPr>
        <w:t>达成调解协议后，调解服务机构应告知双方当事人以下事项:</w:t>
      </w:r>
    </w:p>
    <w:p>
      <w:pPr>
        <w:pStyle w:val="57"/>
        <w:numPr>
          <w:ilvl w:val="0"/>
          <w:numId w:val="24"/>
        </w:numPr>
        <w:rPr>
          <w:rFonts w:hint="eastAsia"/>
          <w:szCs w:val="22"/>
          <w:lang w:eastAsia="zh-CN"/>
        </w:rPr>
      </w:pPr>
      <w:r>
        <w:rPr>
          <w:rFonts w:hint="eastAsia"/>
          <w:szCs w:val="22"/>
          <w:lang w:eastAsia="zh-CN"/>
        </w:rPr>
        <w:t>经调解服务机构调解达成的调解协议，具有法律约束力，当事人应当按照约定履行；</w:t>
      </w:r>
    </w:p>
    <w:p>
      <w:pPr>
        <w:pStyle w:val="57"/>
        <w:numPr>
          <w:ilvl w:val="0"/>
          <w:numId w:val="24"/>
        </w:numPr>
        <w:rPr>
          <w:rFonts w:hint="eastAsia"/>
          <w:szCs w:val="22"/>
          <w:lang w:eastAsia="zh-CN"/>
        </w:rPr>
      </w:pPr>
      <w:r>
        <w:rPr>
          <w:rFonts w:hint="eastAsia"/>
          <w:szCs w:val="22"/>
          <w:lang w:eastAsia="zh-CN"/>
        </w:rPr>
        <w:t>当事人之间就调解协议的履行或者调解协议的内容发生争议的，一方当事人可以向人民法院提起诉讼；</w:t>
      </w:r>
    </w:p>
    <w:p>
      <w:pPr>
        <w:pStyle w:val="57"/>
        <w:numPr>
          <w:ilvl w:val="0"/>
          <w:numId w:val="24"/>
        </w:numPr>
        <w:rPr>
          <w:rFonts w:hint="eastAsia"/>
          <w:szCs w:val="22"/>
          <w:lang w:eastAsia="zh-CN"/>
        </w:rPr>
      </w:pPr>
      <w:r>
        <w:rPr>
          <w:rFonts w:hint="eastAsia"/>
          <w:szCs w:val="22"/>
          <w:lang w:eastAsia="zh-CN"/>
        </w:rPr>
        <w:t>自调解协议生效之日起30个自然日内，双方当事人可共同向有管辖权的人民法院申请对调解协议进行司法确认；</w:t>
      </w:r>
    </w:p>
    <w:p>
      <w:pPr>
        <w:pStyle w:val="57"/>
        <w:numPr>
          <w:ilvl w:val="0"/>
          <w:numId w:val="24"/>
        </w:numPr>
        <w:rPr>
          <w:rFonts w:hint="eastAsia"/>
          <w:szCs w:val="22"/>
          <w:lang w:eastAsia="zh-CN"/>
        </w:rPr>
      </w:pPr>
      <w:r>
        <w:rPr>
          <w:rFonts w:hint="eastAsia"/>
          <w:szCs w:val="22"/>
          <w:lang w:eastAsia="zh-CN"/>
        </w:rPr>
        <w:t>当事人可在调解协议中约定仲裁条款，并选择快速仲调对接或一般仲调对接：</w:t>
      </w:r>
    </w:p>
    <w:p>
      <w:pPr>
        <w:pStyle w:val="47"/>
        <w:rPr>
          <w:rFonts w:hint="eastAsia"/>
          <w:lang w:eastAsia="zh-CN"/>
        </w:rPr>
      </w:pPr>
      <w:r>
        <w:rPr>
          <w:rFonts w:hint="eastAsia"/>
          <w:lang w:eastAsia="zh-CN"/>
        </w:rPr>
        <w:t>快速仲调对接：双方当事人在签订调解协议后，共同约定对调解结果进行仲裁确认的，可直接向仲裁委员会提交材料申请仲裁确认；</w:t>
      </w:r>
    </w:p>
    <w:p>
      <w:pPr>
        <w:pStyle w:val="47"/>
        <w:rPr>
          <w:rFonts w:hint="eastAsia"/>
          <w:lang w:eastAsia="zh-CN"/>
        </w:rPr>
      </w:pPr>
      <w:r>
        <w:rPr>
          <w:rFonts w:hint="eastAsia"/>
          <w:lang w:eastAsia="zh-CN"/>
        </w:rPr>
        <w:t>一般仲调对接：双方当事人就调解协议的履行或者调解协议的内容发生争议的，可向仲裁委员会申请仲裁。</w:t>
      </w:r>
    </w:p>
    <w:p>
      <w:pPr>
        <w:pStyle w:val="110"/>
        <w:rPr>
          <w:rFonts w:hint="eastAsia"/>
          <w:szCs w:val="22"/>
          <w:lang w:eastAsia="zh-CN"/>
        </w:rPr>
      </w:pPr>
      <w:r>
        <w:rPr>
          <w:rFonts w:hint="eastAsia"/>
          <w:szCs w:val="22"/>
          <w:lang w:eastAsia="zh-CN"/>
        </w:rPr>
        <w:t>调解服务机构应当对调解协议的履行情况进行监督。当事人不履行调解协议或者达成协议后反悔的，调解服务机构按照下列情形分别处理:</w:t>
      </w:r>
    </w:p>
    <w:p>
      <w:pPr>
        <w:pStyle w:val="57"/>
        <w:numPr>
          <w:ilvl w:val="0"/>
          <w:numId w:val="25"/>
        </w:numPr>
        <w:rPr>
          <w:rFonts w:hint="eastAsia"/>
          <w:szCs w:val="22"/>
          <w:lang w:eastAsia="zh-CN"/>
        </w:rPr>
      </w:pPr>
      <w:r>
        <w:rPr>
          <w:rFonts w:hint="eastAsia"/>
          <w:szCs w:val="22"/>
          <w:lang w:eastAsia="zh-CN"/>
        </w:rPr>
        <w:t>当事人无正当理由不履行协议或者履行不适当的，应做好当事人的工作，督促其履行；</w:t>
      </w:r>
    </w:p>
    <w:p>
      <w:pPr>
        <w:pStyle w:val="57"/>
        <w:numPr>
          <w:ilvl w:val="0"/>
          <w:numId w:val="25"/>
        </w:numPr>
        <w:rPr>
          <w:rFonts w:hint="eastAsia"/>
          <w:szCs w:val="22"/>
          <w:lang w:eastAsia="zh-CN"/>
        </w:rPr>
      </w:pPr>
      <w:r>
        <w:rPr>
          <w:rFonts w:hint="eastAsia"/>
          <w:szCs w:val="22"/>
          <w:lang w:eastAsia="zh-CN"/>
        </w:rPr>
        <w:t>当事人提出协议内容不当，或者调解服务机构发现协议内容不当的，应在征得各方当事人同意后，经再次调解变更原协议内容；或者撤销原协议，达成新的调解协议；</w:t>
      </w:r>
    </w:p>
    <w:p>
      <w:pPr>
        <w:pStyle w:val="57"/>
        <w:numPr>
          <w:ilvl w:val="0"/>
          <w:numId w:val="25"/>
        </w:numPr>
        <w:rPr>
          <w:rFonts w:hint="eastAsia"/>
          <w:szCs w:val="22"/>
          <w:lang w:eastAsia="zh-CN"/>
        </w:rPr>
      </w:pPr>
      <w:r>
        <w:rPr>
          <w:rFonts w:hint="eastAsia"/>
          <w:szCs w:val="22"/>
          <w:lang w:eastAsia="zh-CN"/>
        </w:rPr>
        <w:t>对经督促仍不履行调解协议的，应告知当事人可以就调解协议的履行、变更或撤销向人民法院起诉或通过仲裁委员会请求仲裁(调解协议约定有仲裁条款的)。</w:t>
      </w:r>
    </w:p>
    <w:p>
      <w:pPr>
        <w:pStyle w:val="110"/>
        <w:rPr>
          <w:rFonts w:hint="eastAsia"/>
          <w:szCs w:val="22"/>
          <w:lang w:eastAsia="zh-CN"/>
        </w:rPr>
      </w:pPr>
      <w:r>
        <w:rPr>
          <w:rFonts w:hint="eastAsia"/>
          <w:szCs w:val="22"/>
          <w:lang w:eastAsia="zh-CN"/>
        </w:rPr>
        <w:t>调解活动中有下列情形之一的，调解员应当终止调解：</w:t>
      </w:r>
    </w:p>
    <w:p>
      <w:pPr>
        <w:pStyle w:val="57"/>
        <w:numPr>
          <w:ilvl w:val="0"/>
          <w:numId w:val="26"/>
        </w:numPr>
        <w:rPr>
          <w:rFonts w:hint="eastAsia"/>
          <w:szCs w:val="22"/>
          <w:lang w:eastAsia="zh-CN"/>
        </w:rPr>
      </w:pPr>
      <w:r>
        <w:rPr>
          <w:rFonts w:hint="eastAsia"/>
          <w:szCs w:val="22"/>
          <w:lang w:eastAsia="zh-CN"/>
        </w:rPr>
        <w:t>查明纠纷不属于调解范围的；</w:t>
      </w:r>
    </w:p>
    <w:p>
      <w:pPr>
        <w:pStyle w:val="57"/>
        <w:numPr>
          <w:ilvl w:val="0"/>
          <w:numId w:val="26"/>
        </w:numPr>
        <w:rPr>
          <w:rFonts w:hint="eastAsia"/>
          <w:szCs w:val="22"/>
          <w:lang w:eastAsia="zh-CN"/>
        </w:rPr>
      </w:pPr>
      <w:r>
        <w:rPr>
          <w:rFonts w:hint="eastAsia"/>
          <w:szCs w:val="22"/>
          <w:lang w:eastAsia="zh-CN"/>
        </w:rPr>
        <w:t>一方当事人拒绝或者退出调解的；</w:t>
      </w:r>
    </w:p>
    <w:p>
      <w:pPr>
        <w:pStyle w:val="57"/>
        <w:numPr>
          <w:ilvl w:val="0"/>
          <w:numId w:val="26"/>
        </w:numPr>
        <w:rPr>
          <w:rFonts w:hint="eastAsia"/>
          <w:szCs w:val="22"/>
          <w:lang w:eastAsia="zh-CN"/>
        </w:rPr>
      </w:pPr>
      <w:r>
        <w:rPr>
          <w:rFonts w:hint="eastAsia"/>
          <w:szCs w:val="22"/>
          <w:lang w:eastAsia="zh-CN"/>
        </w:rPr>
        <w:t>调解期限届满，仍未达成调解协议的；</w:t>
      </w:r>
    </w:p>
    <w:p>
      <w:pPr>
        <w:pStyle w:val="57"/>
        <w:numPr>
          <w:ilvl w:val="0"/>
          <w:numId w:val="26"/>
        </w:numPr>
        <w:rPr>
          <w:rFonts w:hint="eastAsia"/>
          <w:szCs w:val="22"/>
          <w:lang w:eastAsia="zh-CN"/>
        </w:rPr>
      </w:pPr>
      <w:r>
        <w:rPr>
          <w:rFonts w:hint="eastAsia"/>
          <w:szCs w:val="22"/>
          <w:lang w:eastAsia="zh-CN"/>
        </w:rPr>
        <w:t>双方分歧较大，无法达成一致意见的；</w:t>
      </w:r>
    </w:p>
    <w:p>
      <w:pPr>
        <w:pStyle w:val="57"/>
        <w:numPr>
          <w:ilvl w:val="0"/>
          <w:numId w:val="26"/>
        </w:numPr>
        <w:rPr>
          <w:rFonts w:hint="eastAsia"/>
          <w:szCs w:val="22"/>
          <w:lang w:eastAsia="zh-CN"/>
        </w:rPr>
      </w:pPr>
      <w:r>
        <w:rPr>
          <w:rFonts w:hint="eastAsia"/>
          <w:szCs w:val="22"/>
          <w:lang w:eastAsia="zh-CN"/>
        </w:rPr>
        <w:t>发生特定事由使调解不能进行的；</w:t>
      </w:r>
    </w:p>
    <w:p>
      <w:pPr>
        <w:pStyle w:val="57"/>
        <w:numPr>
          <w:ilvl w:val="0"/>
          <w:numId w:val="26"/>
        </w:numPr>
        <w:rPr>
          <w:rFonts w:hint="eastAsia"/>
          <w:szCs w:val="22"/>
          <w:lang w:eastAsia="zh-CN"/>
        </w:rPr>
      </w:pPr>
      <w:r>
        <w:rPr>
          <w:rFonts w:hint="eastAsia"/>
          <w:szCs w:val="22"/>
          <w:lang w:eastAsia="zh-CN"/>
        </w:rPr>
        <w:t>法律、法规规定应当终止调解的其他情形。</w:t>
      </w:r>
    </w:p>
    <w:p>
      <w:pPr>
        <w:pStyle w:val="110"/>
        <w:rPr>
          <w:rFonts w:hint="eastAsia"/>
          <w:szCs w:val="22"/>
          <w:lang w:eastAsia="zh-CN"/>
        </w:rPr>
      </w:pPr>
      <w:r>
        <w:rPr>
          <w:rFonts w:hint="eastAsia"/>
          <w:szCs w:val="22"/>
          <w:lang w:eastAsia="zh-CN"/>
        </w:rPr>
        <w:t>对</w:t>
      </w:r>
      <w:r>
        <w:rPr>
          <w:rFonts w:hint="eastAsia"/>
          <w:lang w:eastAsia="zh-CN"/>
        </w:rPr>
        <w:t>人民法院、公安机关、知识产权行政部门</w:t>
      </w:r>
      <w:r>
        <w:rPr>
          <w:rFonts w:hint="eastAsia"/>
          <w:szCs w:val="22"/>
          <w:lang w:eastAsia="zh-CN"/>
        </w:rPr>
        <w:t>委托的调解案件，应及时按照委托部门的要求，反馈调解结果、调解过程记录、以及调解协议的履行情况。</w:t>
      </w:r>
    </w:p>
    <w:p>
      <w:pPr>
        <w:pStyle w:val="43"/>
        <w:rPr>
          <w:rFonts w:hint="eastAsia"/>
          <w:szCs w:val="22"/>
          <w:lang w:eastAsia="zh-CN"/>
        </w:rPr>
      </w:pPr>
      <w:r>
        <w:rPr>
          <w:rFonts w:hint="eastAsia"/>
          <w:szCs w:val="22"/>
          <w:lang w:eastAsia="zh-CN"/>
        </w:rPr>
        <w:t xml:space="preserve"> </w:t>
      </w:r>
      <w:bookmarkStart w:id="33" w:name="_Toc28130"/>
      <w:r>
        <w:rPr>
          <w:rFonts w:hint="eastAsia"/>
          <w:szCs w:val="22"/>
          <w:lang w:eastAsia="zh-CN"/>
        </w:rPr>
        <w:t>服务质量控制</w:t>
      </w:r>
      <w:bookmarkEnd w:id="33"/>
    </w:p>
    <w:p>
      <w:pPr>
        <w:pStyle w:val="40"/>
        <w:spacing w:before="156" w:beforeLines="0" w:after="156" w:afterLines="0"/>
        <w:rPr>
          <w:rFonts w:hint="eastAsia"/>
          <w:szCs w:val="22"/>
          <w:lang w:eastAsia="zh-CN"/>
        </w:rPr>
      </w:pPr>
      <w:bookmarkStart w:id="34" w:name="_Toc17972"/>
      <w:r>
        <w:rPr>
          <w:rFonts w:hint="eastAsia"/>
          <w:szCs w:val="22"/>
          <w:lang w:eastAsia="zh-CN"/>
        </w:rPr>
        <w:t>跟踪回访</w:t>
      </w:r>
      <w:bookmarkEnd w:id="34"/>
    </w:p>
    <w:p>
      <w:pPr>
        <w:pStyle w:val="138"/>
        <w:rPr>
          <w:rFonts w:hint="eastAsia"/>
          <w:lang w:eastAsia="zh-CN"/>
        </w:rPr>
      </w:pPr>
      <w:r>
        <w:rPr>
          <w:rFonts w:hint="eastAsia"/>
          <w:lang w:eastAsia="zh-CN"/>
        </w:rPr>
        <w:t>调解服务机构在调解结束后，应制定案件回访计划，对案件进行跟踪回访，并制作《</w:t>
      </w:r>
      <w:r>
        <w:rPr>
          <w:rFonts w:hint="eastAsia"/>
          <w:szCs w:val="22"/>
          <w:lang w:eastAsia="zh-CN"/>
        </w:rPr>
        <w:t>调解</w:t>
      </w:r>
      <w:r>
        <w:rPr>
          <w:rFonts w:hint="eastAsia"/>
          <w:lang w:eastAsia="zh-CN"/>
        </w:rPr>
        <w:t>回访记录》；</w:t>
      </w:r>
    </w:p>
    <w:p>
      <w:pPr>
        <w:pStyle w:val="138"/>
        <w:rPr>
          <w:rFonts w:hint="eastAsia"/>
          <w:lang w:eastAsia="zh-CN"/>
        </w:rPr>
      </w:pPr>
      <w:r>
        <w:rPr>
          <w:rFonts w:hint="eastAsia"/>
          <w:lang w:eastAsia="zh-CN"/>
        </w:rPr>
        <w:t>在调解协议生效后</w:t>
      </w:r>
      <w:r>
        <w:rPr>
          <w:rFonts w:hint="eastAsia"/>
          <w:lang w:val="en-US" w:eastAsia="zh-CN"/>
        </w:rPr>
        <w:t>30个自然日内，应指派专人</w:t>
      </w:r>
      <w:r>
        <w:rPr>
          <w:rFonts w:hint="eastAsia"/>
          <w:lang w:eastAsia="zh-CN"/>
        </w:rPr>
        <w:t>对调解协议的履行情况进行回访，督促当事人履行约定义务。</w:t>
      </w:r>
    </w:p>
    <w:p>
      <w:pPr>
        <w:pStyle w:val="40"/>
        <w:spacing w:before="156" w:beforeLines="0" w:after="156" w:afterLines="0"/>
        <w:rPr>
          <w:rFonts w:hint="eastAsia"/>
          <w:szCs w:val="22"/>
          <w:lang w:eastAsia="zh-CN"/>
        </w:rPr>
      </w:pPr>
      <w:bookmarkStart w:id="35" w:name="_Toc31244"/>
      <w:r>
        <w:rPr>
          <w:rFonts w:hint="eastAsia"/>
          <w:szCs w:val="22"/>
          <w:lang w:eastAsia="zh-CN"/>
        </w:rPr>
        <w:t>服务质量指标</w:t>
      </w:r>
      <w:bookmarkEnd w:id="35"/>
    </w:p>
    <w:p>
      <w:pPr>
        <w:pStyle w:val="24"/>
        <w:ind w:left="0" w:firstLine="420" w:firstLineChars="200"/>
        <w:rPr>
          <w:rFonts w:hint="eastAsia"/>
          <w:szCs w:val="22"/>
          <w:lang w:eastAsia="zh-CN"/>
        </w:rPr>
      </w:pPr>
      <w:r>
        <w:rPr>
          <w:rFonts w:hint="eastAsia"/>
          <w:szCs w:val="22"/>
          <w:lang w:eastAsia="zh-CN"/>
        </w:rPr>
        <w:t>调解服务机构应设立服务质量指标开展统计且服务质量应达到以下要求:</w:t>
      </w:r>
    </w:p>
    <w:p>
      <w:pPr>
        <w:pStyle w:val="46"/>
        <w:rPr>
          <w:rFonts w:hint="eastAsia"/>
          <w:lang w:eastAsia="zh-CN"/>
        </w:rPr>
      </w:pPr>
      <w:r>
        <w:rPr>
          <w:rFonts w:hint="eastAsia"/>
          <w:lang w:eastAsia="zh-CN"/>
        </w:rPr>
        <w:t>对人员有效投诉不多于2次/年；</w:t>
      </w:r>
    </w:p>
    <w:p>
      <w:pPr>
        <w:pStyle w:val="46"/>
        <w:rPr>
          <w:rFonts w:hint="eastAsia"/>
          <w:szCs w:val="22"/>
          <w:lang w:eastAsia="zh-CN"/>
        </w:rPr>
      </w:pPr>
      <w:r>
        <w:rPr>
          <w:rFonts w:hint="eastAsia"/>
          <w:lang w:eastAsia="zh-CN"/>
        </w:rPr>
        <w:t>申请人</w:t>
      </w:r>
      <w:r>
        <w:rPr>
          <w:rFonts w:hint="eastAsia"/>
          <w:szCs w:val="22"/>
          <w:lang w:eastAsia="zh-CN"/>
        </w:rPr>
        <w:t>或委托</w:t>
      </w:r>
      <w:r>
        <w:rPr>
          <w:rFonts w:hint="eastAsia"/>
          <w:lang w:eastAsia="zh-CN"/>
        </w:rPr>
        <w:t>单位</w:t>
      </w:r>
      <w:r>
        <w:rPr>
          <w:rFonts w:hint="eastAsia"/>
          <w:szCs w:val="22"/>
          <w:lang w:eastAsia="zh-CN"/>
        </w:rPr>
        <w:t>满意度达到85%以上；</w:t>
      </w:r>
    </w:p>
    <w:p>
      <w:pPr>
        <w:pStyle w:val="46"/>
        <w:rPr>
          <w:rFonts w:hint="eastAsia"/>
          <w:szCs w:val="22"/>
          <w:lang w:eastAsia="zh-CN"/>
        </w:rPr>
      </w:pPr>
      <w:r>
        <w:rPr>
          <w:rFonts w:hint="eastAsia"/>
          <w:szCs w:val="22"/>
          <w:lang w:eastAsia="zh-CN"/>
        </w:rPr>
        <w:t>案件按时结案率达到90%以上。</w:t>
      </w:r>
    </w:p>
    <w:p>
      <w:pPr>
        <w:pStyle w:val="43"/>
        <w:rPr>
          <w:rFonts w:hint="eastAsia"/>
          <w:szCs w:val="22"/>
          <w:lang w:eastAsia="zh-CN"/>
        </w:rPr>
      </w:pPr>
      <w:r>
        <w:rPr>
          <w:rFonts w:hint="eastAsia"/>
          <w:szCs w:val="22"/>
          <w:lang w:eastAsia="zh-CN"/>
        </w:rPr>
        <w:t xml:space="preserve"> </w:t>
      </w:r>
      <w:bookmarkStart w:id="36" w:name="_Toc23945"/>
      <w:r>
        <w:rPr>
          <w:rFonts w:hint="eastAsia"/>
          <w:szCs w:val="22"/>
          <w:lang w:eastAsia="zh-CN"/>
        </w:rPr>
        <w:t>管理要求</w:t>
      </w:r>
      <w:bookmarkEnd w:id="36"/>
    </w:p>
    <w:p>
      <w:pPr>
        <w:pStyle w:val="40"/>
        <w:spacing w:before="156" w:beforeLines="0" w:after="156" w:afterLines="0"/>
        <w:rPr>
          <w:rFonts w:hint="eastAsia"/>
          <w:lang w:eastAsia="zh-CN"/>
        </w:rPr>
      </w:pPr>
      <w:bookmarkStart w:id="37" w:name="_Toc21942"/>
      <w:r>
        <w:rPr>
          <w:rFonts w:hint="eastAsia"/>
          <w:lang w:eastAsia="zh-CN"/>
        </w:rPr>
        <w:t>人员管理</w:t>
      </w:r>
      <w:bookmarkEnd w:id="37"/>
    </w:p>
    <w:p>
      <w:pPr>
        <w:pStyle w:val="44"/>
        <w:spacing w:before="156" w:beforeLines="0" w:after="156" w:afterLines="0"/>
        <w:rPr>
          <w:rFonts w:hint="eastAsia"/>
          <w:lang w:eastAsia="zh-CN"/>
        </w:rPr>
      </w:pPr>
      <w:r>
        <w:rPr>
          <w:rFonts w:hint="eastAsia"/>
          <w:lang w:eastAsia="zh-CN"/>
        </w:rPr>
        <w:t>调解员聘任与管理</w:t>
      </w:r>
    </w:p>
    <w:p>
      <w:pPr>
        <w:pStyle w:val="110"/>
        <w:rPr>
          <w:rFonts w:hint="eastAsia"/>
          <w:lang w:eastAsia="zh-CN"/>
        </w:rPr>
      </w:pPr>
      <w:r>
        <w:rPr>
          <w:rFonts w:hint="eastAsia"/>
          <w:lang w:eastAsia="zh-CN"/>
        </w:rPr>
        <w:t>调解员应公道正派、廉洁自律、热心调解工作，具有一定文化水平、政策水平和知识产权法律知识。</w:t>
      </w:r>
    </w:p>
    <w:p>
      <w:pPr>
        <w:pStyle w:val="110"/>
        <w:rPr>
          <w:rFonts w:hint="eastAsia"/>
          <w:lang w:eastAsia="zh-CN"/>
        </w:rPr>
      </w:pPr>
      <w:r>
        <w:rPr>
          <w:rFonts w:hint="eastAsia"/>
          <w:lang w:eastAsia="zh-CN"/>
        </w:rPr>
        <w:t>调解服务机构应不断优化调解员队伍结构，注重吸纳律师、公证员、仲裁员、基层法律服务工作者、心理咨询师、医生、教师或专家学者等社会专业人士和退休法官、检察官、民警、司法行政干警以及信访、工会、妇联等部门退休人员担任调解员。</w:t>
      </w:r>
    </w:p>
    <w:p>
      <w:pPr>
        <w:pStyle w:val="110"/>
        <w:rPr>
          <w:rFonts w:hint="eastAsia"/>
          <w:lang w:eastAsia="zh-CN"/>
        </w:rPr>
      </w:pPr>
      <w:r>
        <w:rPr>
          <w:rFonts w:hint="eastAsia"/>
          <w:lang w:eastAsia="zh-CN"/>
        </w:rPr>
        <w:t>调解员应经过调解服务机构、县级或市级司法行政机关统一培训，考核合格，由司法行政机关颁发《调解员证》。优秀专业人才或者工作需要的特殊领域人才，可以适当放宽任职调解员的要求。</w:t>
      </w:r>
    </w:p>
    <w:p>
      <w:pPr>
        <w:pStyle w:val="110"/>
        <w:rPr>
          <w:rFonts w:hint="eastAsia"/>
          <w:lang w:eastAsia="zh-CN"/>
        </w:rPr>
      </w:pPr>
      <w:r>
        <w:rPr>
          <w:rFonts w:hint="eastAsia"/>
          <w:lang w:eastAsia="zh-CN"/>
        </w:rPr>
        <w:t>调解员采用推选和聘任相结合制度,任期不少于1年，可以连选连任或者续聘。</w:t>
      </w:r>
    </w:p>
    <w:p>
      <w:pPr>
        <w:pStyle w:val="110"/>
        <w:rPr>
          <w:rFonts w:hint="eastAsia"/>
          <w:lang w:eastAsia="zh-CN"/>
        </w:rPr>
      </w:pPr>
      <w:r>
        <w:rPr>
          <w:rFonts w:hint="eastAsia"/>
          <w:lang w:eastAsia="zh-CN"/>
        </w:rPr>
        <w:t>调解服务机构应当定期组织调解员进行培训，对在调解工作中作出突出贡献的调解员和其他工作人员给予表彰。</w:t>
      </w:r>
    </w:p>
    <w:p>
      <w:pPr>
        <w:pStyle w:val="110"/>
        <w:rPr>
          <w:rFonts w:hint="eastAsia"/>
          <w:lang w:eastAsia="zh-CN"/>
        </w:rPr>
      </w:pPr>
      <w:r>
        <w:rPr>
          <w:rFonts w:hint="eastAsia"/>
          <w:lang w:eastAsia="zh-CN"/>
        </w:rPr>
        <w:t>调解员在调解工作中有下列行为之一的，调解服务机构给予批评教育、责令改正，情节严重的，应予以罢免或者解聘，违反法律法规的，依法追究法律责任:</w:t>
      </w:r>
    </w:p>
    <w:p>
      <w:pPr>
        <w:pStyle w:val="57"/>
        <w:numPr>
          <w:ilvl w:val="0"/>
          <w:numId w:val="27"/>
        </w:numPr>
        <w:rPr>
          <w:rFonts w:hint="eastAsia"/>
          <w:lang w:eastAsia="zh-CN"/>
        </w:rPr>
      </w:pPr>
      <w:r>
        <w:rPr>
          <w:rFonts w:hint="eastAsia"/>
          <w:lang w:eastAsia="zh-CN"/>
        </w:rPr>
        <w:t>徇私舞弊，偏袒一方当事人；</w:t>
      </w:r>
    </w:p>
    <w:p>
      <w:pPr>
        <w:pStyle w:val="57"/>
        <w:numPr>
          <w:ilvl w:val="0"/>
          <w:numId w:val="27"/>
        </w:numPr>
        <w:rPr>
          <w:rFonts w:hint="eastAsia"/>
          <w:lang w:eastAsia="zh-CN"/>
        </w:rPr>
      </w:pPr>
      <w:r>
        <w:rPr>
          <w:rFonts w:hint="eastAsia"/>
          <w:lang w:eastAsia="zh-CN"/>
        </w:rPr>
        <w:t>对当事人压制或打击报复；</w:t>
      </w:r>
    </w:p>
    <w:p>
      <w:pPr>
        <w:pStyle w:val="57"/>
        <w:numPr>
          <w:ilvl w:val="0"/>
          <w:numId w:val="27"/>
        </w:numPr>
        <w:rPr>
          <w:rFonts w:hint="eastAsia"/>
          <w:lang w:eastAsia="zh-CN"/>
        </w:rPr>
      </w:pPr>
      <w:r>
        <w:rPr>
          <w:rFonts w:hint="eastAsia"/>
          <w:lang w:eastAsia="zh-CN"/>
        </w:rPr>
        <w:t>侮辱、处罚当事人；</w:t>
      </w:r>
    </w:p>
    <w:p>
      <w:pPr>
        <w:pStyle w:val="57"/>
        <w:numPr>
          <w:ilvl w:val="0"/>
          <w:numId w:val="27"/>
        </w:numPr>
        <w:rPr>
          <w:rFonts w:hint="eastAsia"/>
          <w:lang w:eastAsia="zh-CN"/>
        </w:rPr>
      </w:pPr>
      <w:r>
        <w:rPr>
          <w:rFonts w:hint="eastAsia"/>
          <w:lang w:eastAsia="zh-CN"/>
        </w:rPr>
        <w:t>索取、收受财物或者牟取其他不正当利益；</w:t>
      </w:r>
    </w:p>
    <w:p>
      <w:pPr>
        <w:pStyle w:val="57"/>
        <w:numPr>
          <w:ilvl w:val="0"/>
          <w:numId w:val="27"/>
        </w:numPr>
        <w:rPr>
          <w:rFonts w:hint="eastAsia"/>
          <w:lang w:eastAsia="zh-CN"/>
        </w:rPr>
      </w:pPr>
      <w:r>
        <w:rPr>
          <w:rFonts w:hint="eastAsia"/>
          <w:lang w:eastAsia="zh-CN"/>
        </w:rPr>
        <w:t>泄露当事人的个人隐私、商业秘密；</w:t>
      </w:r>
    </w:p>
    <w:p>
      <w:pPr>
        <w:pStyle w:val="57"/>
        <w:numPr>
          <w:ilvl w:val="0"/>
          <w:numId w:val="27"/>
        </w:numPr>
        <w:rPr>
          <w:rFonts w:hint="eastAsia"/>
          <w:lang w:eastAsia="zh-CN"/>
        </w:rPr>
      </w:pPr>
      <w:r>
        <w:rPr>
          <w:rFonts w:hint="eastAsia"/>
          <w:lang w:eastAsia="zh-CN"/>
        </w:rPr>
        <w:t>隐匿、毁灭当事人的证据材料；</w:t>
      </w:r>
    </w:p>
    <w:p>
      <w:pPr>
        <w:pStyle w:val="57"/>
        <w:numPr>
          <w:ilvl w:val="0"/>
          <w:numId w:val="27"/>
        </w:numPr>
        <w:rPr>
          <w:rFonts w:hint="eastAsia"/>
          <w:lang w:eastAsia="zh-CN"/>
        </w:rPr>
      </w:pPr>
      <w:r>
        <w:rPr>
          <w:rFonts w:hint="eastAsia"/>
          <w:lang w:eastAsia="zh-CN"/>
        </w:rPr>
        <w:t>阻止当事人依法通过仲裁、行政、司法等途径维护自己的权利；</w:t>
      </w:r>
    </w:p>
    <w:p>
      <w:pPr>
        <w:pStyle w:val="57"/>
        <w:numPr>
          <w:ilvl w:val="0"/>
          <w:numId w:val="27"/>
        </w:numPr>
        <w:rPr>
          <w:rFonts w:hint="eastAsia"/>
          <w:lang w:eastAsia="zh-CN"/>
        </w:rPr>
      </w:pPr>
      <w:r>
        <w:rPr>
          <w:rFonts w:hint="eastAsia"/>
          <w:lang w:eastAsia="zh-CN"/>
        </w:rPr>
        <w:t>收费或者变相收费；</w:t>
      </w:r>
    </w:p>
    <w:p>
      <w:pPr>
        <w:pStyle w:val="57"/>
        <w:numPr>
          <w:ilvl w:val="0"/>
          <w:numId w:val="27"/>
        </w:numPr>
        <w:rPr>
          <w:rFonts w:hint="eastAsia"/>
          <w:lang w:eastAsia="zh-CN"/>
        </w:rPr>
      </w:pPr>
      <w:r>
        <w:rPr>
          <w:rFonts w:hint="eastAsia"/>
          <w:lang w:eastAsia="zh-CN"/>
        </w:rPr>
        <w:t>其他违反调解相关规定的行为。</w:t>
      </w:r>
    </w:p>
    <w:p>
      <w:pPr>
        <w:pStyle w:val="110"/>
        <w:rPr>
          <w:rFonts w:hint="eastAsia"/>
          <w:lang w:eastAsia="zh-CN"/>
        </w:rPr>
      </w:pPr>
      <w:r>
        <w:rPr>
          <w:rFonts w:hint="eastAsia"/>
          <w:lang w:eastAsia="zh-CN"/>
        </w:rPr>
        <w:t>调解服务机构应建立调解员档案,并根据调解员变动情况及时更新信息。调解员可由调解服务机构工作人员担任，也可以外聘专家担任。</w:t>
      </w:r>
    </w:p>
    <w:p>
      <w:pPr>
        <w:pStyle w:val="44"/>
        <w:spacing w:before="156" w:beforeLines="0" w:after="156" w:afterLines="0"/>
        <w:rPr>
          <w:rFonts w:hint="eastAsia"/>
          <w:lang w:eastAsia="zh-CN"/>
        </w:rPr>
      </w:pPr>
      <w:r>
        <w:rPr>
          <w:rFonts w:hint="eastAsia"/>
          <w:lang w:eastAsia="zh-CN"/>
        </w:rPr>
        <w:t>人员培训</w:t>
      </w:r>
    </w:p>
    <w:p>
      <w:pPr>
        <w:pStyle w:val="24"/>
        <w:ind w:left="0" w:firstLine="420" w:firstLineChars="200"/>
        <w:rPr>
          <w:rFonts w:hint="eastAsia"/>
          <w:szCs w:val="22"/>
          <w:lang w:eastAsia="zh-CN"/>
        </w:rPr>
      </w:pPr>
      <w:r>
        <w:rPr>
          <w:rFonts w:hint="eastAsia"/>
          <w:szCs w:val="22"/>
          <w:lang w:eastAsia="zh-CN"/>
        </w:rPr>
        <w:t>调解服务机构应结合实际，统筹安排调解员接受培训，确保调解员的业务能力和技能水平满足调解服务要求。培训管理内容包括培训基本内容、制定培训计划和组织实施工作过程。</w:t>
      </w:r>
    </w:p>
    <w:p>
      <w:pPr>
        <w:pStyle w:val="40"/>
        <w:spacing w:before="156" w:beforeLines="0" w:after="156" w:afterLines="0"/>
        <w:rPr>
          <w:rFonts w:hint="eastAsia"/>
          <w:lang w:eastAsia="zh-CN"/>
        </w:rPr>
      </w:pPr>
      <w:bookmarkStart w:id="38" w:name="_Toc26165"/>
      <w:r>
        <w:rPr>
          <w:rFonts w:hint="eastAsia"/>
          <w:lang w:eastAsia="zh-CN"/>
        </w:rPr>
        <w:t>服务场所管理</w:t>
      </w:r>
      <w:bookmarkEnd w:id="38"/>
    </w:p>
    <w:p>
      <w:pPr>
        <w:pStyle w:val="138"/>
        <w:rPr>
          <w:rFonts w:hint="eastAsia"/>
          <w:lang w:eastAsia="zh-CN"/>
        </w:rPr>
      </w:pPr>
      <w:r>
        <w:rPr>
          <w:rFonts w:hint="eastAsia"/>
          <w:lang w:eastAsia="zh-CN"/>
        </w:rPr>
        <w:t>调解服务机构应有固定的工作场所，应设置接待窗口、调解室，应配置档案柜、电脑、打印机等必要的办公设备和用品，设备应处于完好工作状态。</w:t>
      </w:r>
    </w:p>
    <w:p>
      <w:pPr>
        <w:pStyle w:val="138"/>
        <w:rPr>
          <w:rFonts w:hint="eastAsia"/>
          <w:lang w:eastAsia="zh-CN"/>
        </w:rPr>
      </w:pPr>
      <w:r>
        <w:rPr>
          <w:rFonts w:hint="eastAsia"/>
          <w:lang w:eastAsia="zh-CN"/>
        </w:rPr>
        <w:t>工作场所显著位置设置服务范围、工作流程、服务时限以及服务承诺等指示牌，并为服务对象提供调解相关的详细介绍和服务须知等资料。</w:t>
      </w:r>
    </w:p>
    <w:p>
      <w:pPr>
        <w:pStyle w:val="138"/>
        <w:rPr>
          <w:rFonts w:hint="eastAsia"/>
          <w:lang w:eastAsia="zh-CN"/>
        </w:rPr>
      </w:pPr>
      <w:r>
        <w:rPr>
          <w:rFonts w:hint="eastAsia"/>
          <w:lang w:eastAsia="zh-CN"/>
        </w:rPr>
        <w:t>调解服务机构应确保办公区域具有良好的办公环境和卫生条件。</w:t>
      </w:r>
    </w:p>
    <w:p>
      <w:pPr>
        <w:pStyle w:val="40"/>
        <w:spacing w:before="156" w:beforeLines="0" w:after="156" w:afterLines="0"/>
        <w:rPr>
          <w:rFonts w:hint="eastAsia"/>
          <w:lang w:eastAsia="zh-CN"/>
        </w:rPr>
      </w:pPr>
      <w:bookmarkStart w:id="39" w:name="_Toc26325"/>
      <w:r>
        <w:rPr>
          <w:rFonts w:hint="eastAsia"/>
          <w:lang w:eastAsia="zh-CN"/>
        </w:rPr>
        <w:t>安全应急管理</w:t>
      </w:r>
      <w:bookmarkEnd w:id="39"/>
    </w:p>
    <w:p>
      <w:pPr>
        <w:pStyle w:val="138"/>
        <w:rPr>
          <w:rFonts w:hint="eastAsia"/>
          <w:lang w:eastAsia="zh-CN"/>
        </w:rPr>
      </w:pPr>
      <w:r>
        <w:rPr>
          <w:rFonts w:hint="eastAsia"/>
          <w:lang w:eastAsia="zh-CN"/>
        </w:rPr>
        <w:t>调解服务机构应确保服务对象、工作人员和来访者的人身财产安全，维护其合法权益。</w:t>
      </w:r>
    </w:p>
    <w:p>
      <w:pPr>
        <w:pStyle w:val="138"/>
        <w:rPr>
          <w:rFonts w:hint="eastAsia"/>
          <w:lang w:eastAsia="zh-CN"/>
        </w:rPr>
      </w:pPr>
      <w:r>
        <w:rPr>
          <w:rFonts w:hint="eastAsia"/>
          <w:lang w:eastAsia="zh-CN"/>
        </w:rPr>
        <w:t>调解服务机构应配备完善的消防安全设施。</w:t>
      </w:r>
    </w:p>
    <w:p>
      <w:pPr>
        <w:pStyle w:val="138"/>
        <w:rPr>
          <w:rFonts w:hint="eastAsia"/>
          <w:lang w:eastAsia="zh-CN"/>
        </w:rPr>
      </w:pPr>
      <w:r>
        <w:rPr>
          <w:rFonts w:hint="eastAsia"/>
          <w:lang w:eastAsia="zh-CN"/>
        </w:rPr>
        <w:t>调解服务机构应制定安全应急方案，遇到重大集体争议和突发性事件能够有效应对，尽量降低事件影响和人员、财产损失。</w:t>
      </w:r>
    </w:p>
    <w:p>
      <w:pPr>
        <w:pStyle w:val="40"/>
        <w:spacing w:before="156" w:beforeLines="0" w:after="156" w:afterLines="0"/>
        <w:rPr>
          <w:rFonts w:hint="eastAsia"/>
          <w:lang w:eastAsia="zh-CN"/>
        </w:rPr>
      </w:pPr>
      <w:bookmarkStart w:id="40" w:name="_Toc14088"/>
      <w:r>
        <w:rPr>
          <w:rFonts w:hint="eastAsia"/>
          <w:lang w:eastAsia="zh-CN"/>
        </w:rPr>
        <w:t>档案管理</w:t>
      </w:r>
      <w:bookmarkEnd w:id="40"/>
    </w:p>
    <w:p>
      <w:pPr>
        <w:pStyle w:val="138"/>
        <w:rPr>
          <w:rFonts w:hint="eastAsia"/>
          <w:lang w:eastAsia="zh-CN"/>
        </w:rPr>
      </w:pPr>
      <w:r>
        <w:rPr>
          <w:rFonts w:hint="eastAsia"/>
          <w:lang w:eastAsia="zh-CN"/>
        </w:rPr>
        <w:t>调解结束后，调解员应按要求将调解卷宗及时归档，统一管理。</w:t>
      </w:r>
    </w:p>
    <w:p>
      <w:pPr>
        <w:pStyle w:val="138"/>
        <w:rPr>
          <w:rFonts w:hint="eastAsia"/>
          <w:lang w:eastAsia="zh-CN"/>
        </w:rPr>
      </w:pPr>
      <w:r>
        <w:rPr>
          <w:rFonts w:hint="eastAsia"/>
          <w:lang w:eastAsia="zh-CN"/>
        </w:rPr>
        <w:t>调解服务机构应确定档案的标识、查阅、保密、处置等管理要求，指定专人负责调解卷宗的管理工作，规范开展档案的收集、归档、整理、保管、保密、查阅和销毁。</w:t>
      </w:r>
    </w:p>
    <w:p>
      <w:pPr>
        <w:pStyle w:val="138"/>
        <w:rPr>
          <w:rFonts w:hint="eastAsia"/>
          <w:lang w:eastAsia="zh-CN"/>
        </w:rPr>
      </w:pPr>
      <w:r>
        <w:rPr>
          <w:rFonts w:hint="eastAsia"/>
          <w:lang w:eastAsia="zh-CN"/>
        </w:rPr>
        <w:t>调解服务机构应按照一案一号、一案一卷的原则建立案卷档案。对于纠纷调解过程简单或者达成口头调解协议的，可多案一卷，并定期集中组卷归档。</w:t>
      </w:r>
    </w:p>
    <w:p>
      <w:pPr>
        <w:pStyle w:val="138"/>
        <w:rPr>
          <w:rFonts w:hint="eastAsia"/>
          <w:lang w:eastAsia="zh-CN"/>
        </w:rPr>
      </w:pPr>
      <w:r>
        <w:rPr>
          <w:rFonts w:hint="eastAsia"/>
          <w:lang w:eastAsia="zh-CN"/>
        </w:rPr>
        <w:t>调解员应制作调解案件台账，记录调解案件的基本信息、处理进度、归档情况。</w:t>
      </w:r>
    </w:p>
    <w:p>
      <w:pPr>
        <w:pStyle w:val="138"/>
        <w:rPr>
          <w:rFonts w:hint="eastAsia"/>
          <w:lang w:eastAsia="zh-CN"/>
        </w:rPr>
      </w:pPr>
      <w:r>
        <w:rPr>
          <w:rFonts w:hint="eastAsia"/>
          <w:lang w:eastAsia="zh-CN"/>
        </w:rPr>
        <w:t>调解员应当在案件结案后3个月内将调解案卷完成归档，档案宜采用以下顺序进行归档：</w:t>
      </w:r>
    </w:p>
    <w:p>
      <w:pPr>
        <w:pStyle w:val="57"/>
        <w:numPr>
          <w:ilvl w:val="0"/>
          <w:numId w:val="28"/>
        </w:numPr>
        <w:rPr>
          <w:rFonts w:hint="eastAsia"/>
          <w:color w:val="auto"/>
          <w:szCs w:val="22"/>
          <w:lang w:eastAsia="zh-CN"/>
        </w:rPr>
      </w:pPr>
      <w:r>
        <w:rPr>
          <w:rFonts w:hint="eastAsia"/>
          <w:color w:val="auto"/>
          <w:szCs w:val="22"/>
          <w:lang w:eastAsia="zh-CN"/>
        </w:rPr>
        <w:t>卷宗封面；</w:t>
      </w:r>
    </w:p>
    <w:p>
      <w:pPr>
        <w:pStyle w:val="57"/>
        <w:numPr>
          <w:ilvl w:val="0"/>
          <w:numId w:val="28"/>
        </w:numPr>
        <w:rPr>
          <w:rFonts w:hint="eastAsia"/>
          <w:color w:val="auto"/>
          <w:szCs w:val="22"/>
          <w:lang w:eastAsia="zh-CN"/>
        </w:rPr>
      </w:pPr>
      <w:r>
        <w:rPr>
          <w:rFonts w:hint="eastAsia"/>
          <w:color w:val="auto"/>
          <w:szCs w:val="22"/>
          <w:lang w:eastAsia="zh-CN"/>
        </w:rPr>
        <w:t>目录；</w:t>
      </w:r>
    </w:p>
    <w:p>
      <w:pPr>
        <w:pStyle w:val="57"/>
        <w:numPr>
          <w:ilvl w:val="0"/>
          <w:numId w:val="28"/>
        </w:numPr>
        <w:rPr>
          <w:rFonts w:hint="eastAsia"/>
          <w:color w:val="auto"/>
          <w:szCs w:val="22"/>
          <w:lang w:eastAsia="zh-CN"/>
        </w:rPr>
      </w:pPr>
      <w:r>
        <w:rPr>
          <w:rFonts w:hint="eastAsia"/>
          <w:color w:val="auto"/>
          <w:lang w:val="en-US" w:eastAsia="zh-CN"/>
        </w:rPr>
        <w:t>知识产权纠纷调解申请书</w:t>
      </w:r>
      <w:r>
        <w:rPr>
          <w:rFonts w:hint="eastAsia"/>
          <w:color w:val="auto"/>
          <w:szCs w:val="22"/>
          <w:lang w:eastAsia="zh-CN"/>
        </w:rPr>
        <w:t>；</w:t>
      </w:r>
    </w:p>
    <w:p>
      <w:pPr>
        <w:pStyle w:val="57"/>
        <w:numPr>
          <w:ilvl w:val="0"/>
          <w:numId w:val="28"/>
        </w:numPr>
        <w:rPr>
          <w:rFonts w:hint="eastAsia"/>
          <w:color w:val="auto"/>
          <w:szCs w:val="22"/>
          <w:lang w:eastAsia="zh-CN"/>
        </w:rPr>
      </w:pPr>
      <w:r>
        <w:rPr>
          <w:rFonts w:hint="eastAsia"/>
          <w:color w:val="auto"/>
          <w:szCs w:val="22"/>
          <w:lang w:eastAsia="zh-CN"/>
        </w:rPr>
        <w:t>调解记录；</w:t>
      </w:r>
    </w:p>
    <w:p>
      <w:pPr>
        <w:pStyle w:val="57"/>
        <w:numPr>
          <w:ilvl w:val="0"/>
          <w:numId w:val="28"/>
        </w:numPr>
        <w:rPr>
          <w:rFonts w:hint="eastAsia"/>
          <w:szCs w:val="22"/>
          <w:lang w:eastAsia="zh-CN"/>
        </w:rPr>
      </w:pPr>
      <w:r>
        <w:rPr>
          <w:rFonts w:hint="eastAsia"/>
          <w:szCs w:val="22"/>
          <w:lang w:eastAsia="zh-CN"/>
        </w:rPr>
        <w:t>证据材料；</w:t>
      </w:r>
    </w:p>
    <w:p>
      <w:pPr>
        <w:pStyle w:val="57"/>
        <w:numPr>
          <w:ilvl w:val="0"/>
          <w:numId w:val="28"/>
        </w:numPr>
        <w:rPr>
          <w:rFonts w:hint="eastAsia"/>
          <w:szCs w:val="22"/>
          <w:lang w:eastAsia="zh-CN"/>
        </w:rPr>
      </w:pPr>
      <w:r>
        <w:rPr>
          <w:rFonts w:hint="eastAsia"/>
          <w:szCs w:val="22"/>
          <w:lang w:eastAsia="zh-CN"/>
        </w:rPr>
        <w:t>调解协议书；</w:t>
      </w:r>
    </w:p>
    <w:p>
      <w:pPr>
        <w:pStyle w:val="57"/>
        <w:numPr>
          <w:ilvl w:val="0"/>
          <w:numId w:val="28"/>
        </w:numPr>
        <w:rPr>
          <w:rFonts w:hint="eastAsia"/>
          <w:szCs w:val="22"/>
          <w:lang w:eastAsia="zh-CN"/>
        </w:rPr>
      </w:pPr>
      <w:r>
        <w:rPr>
          <w:rFonts w:hint="eastAsia"/>
          <w:szCs w:val="22"/>
          <w:lang w:eastAsia="zh-CN"/>
        </w:rPr>
        <w:t>调解回访记录；</w:t>
      </w:r>
    </w:p>
    <w:p>
      <w:pPr>
        <w:pStyle w:val="57"/>
        <w:numPr>
          <w:ilvl w:val="0"/>
          <w:numId w:val="28"/>
        </w:numPr>
        <w:rPr>
          <w:rFonts w:hint="eastAsia"/>
          <w:szCs w:val="22"/>
          <w:lang w:eastAsia="zh-CN"/>
        </w:rPr>
      </w:pPr>
      <w:r>
        <w:rPr>
          <w:rFonts w:hint="eastAsia"/>
          <w:szCs w:val="22"/>
          <w:lang w:eastAsia="zh-CN"/>
        </w:rPr>
        <w:t>司法确认有关材料；</w:t>
      </w:r>
    </w:p>
    <w:p>
      <w:pPr>
        <w:pStyle w:val="57"/>
        <w:numPr>
          <w:ilvl w:val="0"/>
          <w:numId w:val="28"/>
        </w:numPr>
        <w:rPr>
          <w:rFonts w:hint="eastAsia"/>
          <w:szCs w:val="22"/>
          <w:lang w:eastAsia="zh-CN"/>
        </w:rPr>
      </w:pPr>
      <w:r>
        <w:rPr>
          <w:rFonts w:hint="eastAsia"/>
          <w:szCs w:val="22"/>
          <w:lang w:eastAsia="zh-CN"/>
        </w:rPr>
        <w:t>卷宗情况说明；</w:t>
      </w:r>
    </w:p>
    <w:p>
      <w:pPr>
        <w:pStyle w:val="57"/>
        <w:numPr>
          <w:ilvl w:val="0"/>
          <w:numId w:val="28"/>
        </w:numPr>
        <w:rPr>
          <w:rFonts w:hint="eastAsia"/>
          <w:szCs w:val="22"/>
          <w:lang w:eastAsia="zh-CN"/>
        </w:rPr>
      </w:pPr>
      <w:r>
        <w:rPr>
          <w:rFonts w:hint="eastAsia"/>
          <w:szCs w:val="22"/>
          <w:lang w:eastAsia="zh-CN"/>
        </w:rPr>
        <w:t>封底。</w:t>
      </w:r>
    </w:p>
    <w:p>
      <w:pPr>
        <w:pStyle w:val="138"/>
        <w:rPr>
          <w:rFonts w:hint="eastAsia"/>
          <w:lang w:eastAsia="zh-CN"/>
        </w:rPr>
      </w:pPr>
      <w:r>
        <w:rPr>
          <w:rFonts w:hint="eastAsia"/>
          <w:lang w:eastAsia="zh-CN"/>
        </w:rPr>
        <w:t>调解服务机构应建立调解卷宗档案借阅制度和档案借阅登记簿。</w:t>
      </w:r>
    </w:p>
    <w:p>
      <w:pPr>
        <w:pStyle w:val="138"/>
        <w:rPr>
          <w:rFonts w:hint="eastAsia"/>
          <w:lang w:eastAsia="zh-CN"/>
        </w:rPr>
      </w:pPr>
      <w:r>
        <w:rPr>
          <w:rFonts w:hint="eastAsia"/>
          <w:lang w:eastAsia="zh-CN"/>
        </w:rPr>
        <w:t>调解服务机构对借阅调解卷宗档案的，应履行审批和登记手续。现场借阅的，不允许带出指定借阅区；需带走借阅的，应限定借阅期限。借阅的情形包括:</w:t>
      </w:r>
    </w:p>
    <w:p>
      <w:pPr>
        <w:pStyle w:val="57"/>
        <w:numPr>
          <w:ilvl w:val="0"/>
          <w:numId w:val="29"/>
        </w:numPr>
        <w:rPr>
          <w:rFonts w:hint="eastAsia"/>
          <w:szCs w:val="22"/>
          <w:lang w:eastAsia="zh-CN"/>
        </w:rPr>
      </w:pPr>
      <w:r>
        <w:rPr>
          <w:rFonts w:hint="eastAsia"/>
          <w:szCs w:val="22"/>
          <w:lang w:eastAsia="zh-CN"/>
        </w:rPr>
        <w:t>原案件调解员因工作需要借阅的，履行借阅手续，可以调阅已调解归档的档案，规定应经调解服务机构负责人批准的除外；</w:t>
      </w:r>
    </w:p>
    <w:p>
      <w:pPr>
        <w:pStyle w:val="57"/>
        <w:numPr>
          <w:ilvl w:val="0"/>
          <w:numId w:val="29"/>
        </w:numPr>
        <w:rPr>
          <w:rFonts w:hint="eastAsia"/>
          <w:szCs w:val="22"/>
          <w:lang w:eastAsia="zh-CN"/>
        </w:rPr>
      </w:pPr>
      <w:r>
        <w:rPr>
          <w:rFonts w:hint="eastAsia"/>
          <w:szCs w:val="22"/>
          <w:lang w:eastAsia="zh-CN"/>
        </w:rPr>
        <w:t>当事人及其委托代理人申请查阅调解档案的，应当出示身份证、委托证明等有效证明，经调解服务机构负责人批准后，履行借阅登记手续，予以借阅；</w:t>
      </w:r>
    </w:p>
    <w:p>
      <w:pPr>
        <w:pStyle w:val="57"/>
        <w:numPr>
          <w:ilvl w:val="0"/>
          <w:numId w:val="29"/>
        </w:numPr>
        <w:rPr>
          <w:rFonts w:hint="eastAsia"/>
          <w:szCs w:val="22"/>
          <w:lang w:eastAsia="zh-CN"/>
        </w:rPr>
      </w:pPr>
      <w:r>
        <w:rPr>
          <w:rFonts w:hint="eastAsia"/>
          <w:szCs w:val="22"/>
          <w:lang w:eastAsia="zh-CN"/>
        </w:rPr>
        <w:t>上级司法行政部门因工作需要借阅的，应出示正式调阅函，并履行借阅登记手续，予以借阅；</w:t>
      </w:r>
    </w:p>
    <w:p>
      <w:pPr>
        <w:pStyle w:val="57"/>
        <w:numPr>
          <w:ilvl w:val="0"/>
          <w:numId w:val="29"/>
        </w:numPr>
        <w:rPr>
          <w:rFonts w:hint="eastAsia"/>
          <w:szCs w:val="22"/>
          <w:lang w:eastAsia="zh-CN"/>
        </w:rPr>
      </w:pPr>
      <w:r>
        <w:rPr>
          <w:rFonts w:hint="eastAsia"/>
          <w:szCs w:val="22"/>
          <w:lang w:eastAsia="zh-CN"/>
        </w:rPr>
        <w:t>人民法院、人民检察院和有关国家机关因工作需要借阅的，应出示正式借阅函，经调解服务机构负责人批准后办理借阅登记手续，予以借阅；</w:t>
      </w:r>
    </w:p>
    <w:p>
      <w:pPr>
        <w:pStyle w:val="57"/>
        <w:numPr>
          <w:ilvl w:val="0"/>
          <w:numId w:val="29"/>
        </w:numPr>
        <w:rPr>
          <w:rFonts w:hint="eastAsia"/>
          <w:szCs w:val="22"/>
          <w:lang w:eastAsia="zh-CN"/>
        </w:rPr>
      </w:pPr>
      <w:r>
        <w:rPr>
          <w:rFonts w:hint="eastAsia"/>
          <w:szCs w:val="22"/>
          <w:lang w:eastAsia="zh-CN"/>
        </w:rPr>
        <w:t>调解卷宗档案不应借给其他单位或个人；</w:t>
      </w:r>
    </w:p>
    <w:p>
      <w:pPr>
        <w:pStyle w:val="57"/>
        <w:numPr>
          <w:ilvl w:val="0"/>
          <w:numId w:val="29"/>
        </w:numPr>
        <w:rPr>
          <w:rFonts w:hint="eastAsia"/>
          <w:szCs w:val="22"/>
          <w:lang w:eastAsia="zh-CN"/>
        </w:rPr>
      </w:pPr>
      <w:r>
        <w:rPr>
          <w:rFonts w:hint="eastAsia"/>
          <w:szCs w:val="22"/>
          <w:lang w:eastAsia="zh-CN"/>
        </w:rPr>
        <w:t>凡涉及国家秘密、商业秘密或个人隐私的调解卷宗档案，查阅和借阅应当符合相关法律法规的规定。当事人要求保密的档案，保密范围应符合法律法规的规定。在保密范围内不得借阅和查阅。</w:t>
      </w:r>
    </w:p>
    <w:p>
      <w:pPr>
        <w:pStyle w:val="138"/>
        <w:rPr>
          <w:rFonts w:hint="eastAsia"/>
          <w:lang w:eastAsia="zh-CN"/>
        </w:rPr>
      </w:pPr>
      <w:r>
        <w:rPr>
          <w:rFonts w:hint="eastAsia"/>
          <w:lang w:eastAsia="zh-CN"/>
        </w:rPr>
        <w:t>凡经批准允许查阅的档案，可以摘抄或者复印。</w:t>
      </w:r>
    </w:p>
    <w:p>
      <w:pPr>
        <w:pStyle w:val="40"/>
        <w:spacing w:before="156" w:beforeLines="0" w:after="156" w:afterLines="0"/>
        <w:rPr>
          <w:rFonts w:hint="eastAsia"/>
          <w:lang w:eastAsia="zh-CN"/>
        </w:rPr>
      </w:pPr>
      <w:bookmarkStart w:id="41" w:name="_Toc22249"/>
      <w:r>
        <w:rPr>
          <w:rFonts w:hint="eastAsia"/>
          <w:lang w:eastAsia="zh-CN"/>
        </w:rPr>
        <w:t>统计上报管理</w:t>
      </w:r>
      <w:bookmarkEnd w:id="41"/>
    </w:p>
    <w:p>
      <w:pPr>
        <w:pStyle w:val="138"/>
        <w:rPr>
          <w:rFonts w:hint="eastAsia"/>
          <w:lang w:eastAsia="zh-CN"/>
        </w:rPr>
      </w:pPr>
      <w:r>
        <w:rPr>
          <w:rFonts w:hint="eastAsia"/>
          <w:lang w:eastAsia="zh-CN"/>
        </w:rPr>
        <w:t>调解服务机构应统计汇总受委托调解的案件工作情况，及时报送至委托部门。</w:t>
      </w:r>
    </w:p>
    <w:p>
      <w:pPr>
        <w:pStyle w:val="138"/>
        <w:rPr>
          <w:rFonts w:hint="eastAsia"/>
          <w:szCs w:val="22"/>
          <w:lang w:eastAsia="zh-CN"/>
        </w:rPr>
      </w:pPr>
      <w:r>
        <w:rPr>
          <w:rFonts w:hint="eastAsia"/>
          <w:lang w:eastAsia="zh-CN"/>
        </w:rPr>
        <w:t>调解服务机构应定期统计汇总调解工作情况，可按政府、司法等相关部门的要求及时报送。</w:t>
      </w:r>
    </w:p>
    <w:p>
      <w:pPr>
        <w:pStyle w:val="43"/>
        <w:rPr>
          <w:rFonts w:hint="eastAsia"/>
          <w:lang w:eastAsia="zh-CN"/>
        </w:rPr>
      </w:pPr>
      <w:r>
        <w:rPr>
          <w:rFonts w:hint="eastAsia"/>
          <w:szCs w:val="22"/>
          <w:lang w:eastAsia="zh-CN"/>
        </w:rPr>
        <w:t xml:space="preserve"> </w:t>
      </w:r>
      <w:bookmarkStart w:id="42" w:name="_Toc29127"/>
      <w:r>
        <w:rPr>
          <w:rFonts w:hint="eastAsia"/>
          <w:szCs w:val="22"/>
          <w:lang w:eastAsia="zh-CN"/>
        </w:rPr>
        <w:t>服务</w:t>
      </w:r>
      <w:r>
        <w:rPr>
          <w:rFonts w:hint="eastAsia"/>
          <w:lang w:eastAsia="zh-CN"/>
        </w:rPr>
        <w:t>评价与改进</w:t>
      </w:r>
      <w:bookmarkEnd w:id="42"/>
    </w:p>
    <w:p>
      <w:pPr>
        <w:pStyle w:val="40"/>
        <w:spacing w:before="156" w:beforeLines="0" w:after="156" w:afterLines="0"/>
        <w:rPr>
          <w:rFonts w:hint="eastAsia"/>
          <w:lang w:eastAsia="zh-CN"/>
        </w:rPr>
      </w:pPr>
      <w:bookmarkStart w:id="43" w:name="_Toc28122"/>
      <w:r>
        <w:rPr>
          <w:rFonts w:hint="eastAsia"/>
          <w:lang w:eastAsia="zh-CN"/>
        </w:rPr>
        <w:t>服务评价</w:t>
      </w:r>
      <w:bookmarkEnd w:id="43"/>
    </w:p>
    <w:p>
      <w:pPr>
        <w:pStyle w:val="138"/>
        <w:rPr>
          <w:rFonts w:hint="eastAsia"/>
          <w:lang w:eastAsia="zh-CN"/>
        </w:rPr>
      </w:pPr>
      <w:r>
        <w:rPr>
          <w:rFonts w:hint="eastAsia"/>
          <w:lang w:eastAsia="zh-CN"/>
        </w:rPr>
        <w:t>调解服务机构宜每年组织一次调解服务评价，评价可由调解服务机构自行组织，也可以委托第三方机构进行。评价方式可采用电话回访、网上调查、现场问卷等向服务对象进行调查。</w:t>
      </w:r>
    </w:p>
    <w:p>
      <w:pPr>
        <w:pStyle w:val="138"/>
        <w:rPr>
          <w:rFonts w:hint="eastAsia"/>
          <w:lang w:eastAsia="zh-CN"/>
        </w:rPr>
      </w:pPr>
      <w:r>
        <w:rPr>
          <w:rFonts w:hint="eastAsia"/>
          <w:lang w:eastAsia="zh-CN"/>
        </w:rPr>
        <w:t>评价内容应包括专业水平、服务质量、服务态度、办事效率、当事人满意度等。</w:t>
      </w:r>
    </w:p>
    <w:p>
      <w:pPr>
        <w:pStyle w:val="40"/>
        <w:spacing w:before="156" w:beforeLines="0" w:after="156" w:afterLines="0"/>
        <w:rPr>
          <w:rFonts w:hint="eastAsia"/>
          <w:lang w:eastAsia="zh-CN"/>
        </w:rPr>
      </w:pPr>
      <w:bookmarkStart w:id="44" w:name="_Toc7948"/>
      <w:r>
        <w:rPr>
          <w:rFonts w:hint="eastAsia"/>
          <w:lang w:eastAsia="zh-CN"/>
        </w:rPr>
        <w:t>服务改进</w:t>
      </w:r>
      <w:bookmarkEnd w:id="44"/>
    </w:p>
    <w:p>
      <w:pPr>
        <w:pStyle w:val="24"/>
        <w:ind w:left="0" w:firstLine="420" w:firstLineChars="200"/>
        <w:rPr>
          <w:rFonts w:hint="eastAsia"/>
          <w:szCs w:val="22"/>
          <w:lang w:eastAsia="zh-CN"/>
        </w:rPr>
      </w:pPr>
      <w:r>
        <w:rPr>
          <w:rFonts w:hint="eastAsia"/>
          <w:szCs w:val="22"/>
          <w:lang w:eastAsia="zh-CN"/>
        </w:rPr>
        <w:t>调解服务机构对服务评价中发现的问题应进行科学合理的分析，制定改进措施，切实提高服务水平。</w:t>
      </w:r>
    </w:p>
    <w:p>
      <w:pPr>
        <w:pStyle w:val="69"/>
      </w:pPr>
      <w:bookmarkStart w:id="45" w:name="_Toc475694868"/>
      <w:bookmarkStart w:id="46" w:name="_Toc14563"/>
      <w:r>
        <w:rPr>
          <w:rFonts w:hint="eastAsia"/>
        </w:rPr>
        <w:t>参 考 文 献</w:t>
      </w:r>
      <w:bookmarkEnd w:id="45"/>
      <w:bookmarkEnd w:id="46"/>
    </w:p>
    <w:p>
      <w:pPr>
        <w:pStyle w:val="140"/>
      </w:pPr>
      <w:r>
        <w:rPr>
          <w:rFonts w:hint="eastAsia"/>
          <w:lang w:val="en-US" w:eastAsia="zh-CN"/>
        </w:rPr>
        <w:t xml:space="preserve">《知识产权纠纷人民调解服务规范》（DB2101/T 0057-2022） </w:t>
      </w:r>
    </w:p>
    <w:p>
      <w:pPr>
        <w:pStyle w:val="140"/>
      </w:pPr>
      <w:r>
        <w:rPr>
          <w:rFonts w:hint="eastAsia"/>
        </w:rPr>
        <w:t>《知识产权纠纷调解管理规范》(T/PPAC301-2019)</w:t>
      </w:r>
    </w:p>
    <w:p>
      <w:pPr>
        <w:pStyle w:val="140"/>
      </w:pPr>
      <w:r>
        <w:rPr>
          <w:rFonts w:hint="eastAsia"/>
        </w:rPr>
        <w:t>《全国人民调解工作规范》(SF/T 0083-2020)</w:t>
      </w:r>
    </w:p>
    <w:p>
      <w:pPr>
        <w:pStyle w:val="126"/>
      </w:pPr>
      <w:r>
        <mc:AlternateContent>
          <mc:Choice Requires="wps">
            <w:drawing>
              <wp:anchor distT="0" distB="0" distL="113665" distR="113665" simplePos="0" relativeHeight="1024" behindDoc="0" locked="0" layoutInCell="1" allowOverlap="1">
                <wp:simplePos x="0" y="0"/>
                <wp:positionH relativeFrom="column">
                  <wp:posOffset>1757045</wp:posOffset>
                </wp:positionH>
                <wp:positionV relativeFrom="paragraph">
                  <wp:posOffset>316865</wp:posOffset>
                </wp:positionV>
                <wp:extent cx="2419350" cy="0"/>
                <wp:effectExtent l="0" t="0" r="19050" b="19050"/>
                <wp:wrapNone/>
                <wp:docPr id="20"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43" o:spid="_x0000_s1026" o:spt="20" style="position:absolute;left:0pt;margin-left:138.35pt;margin-top:24.95pt;height:0pt;width:190.5pt;z-index:1024;mso-width-relative:page;mso-height-relative:page;" filled="f" stroked="t" coordsize="21600,21600" o:gfxdata="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dMJp1gAAAAkBAAAPAAAAAAAAAAEAIAAAACIAAABkcnMvZG93&#10;bnJldi54bWxQSwECFAAUAAAACACHTuJA0CxTtgICAADaAwAADgAAAAAAAAABACAAAAAlAQAAZHJz&#10;L2Uyb0RvYy54bWxQSwUGAAAAAAYABgBZAQAAmQUAAAAA&#10;">
                <v:fill on="f" focussize="0,0"/>
                <v:stroke weight="0.5pt" color="#000000" joinstyle="round"/>
                <v:imagedata o:title=""/>
                <o:lock v:ext="edit" aspectratio="f"/>
              </v:line>
            </w:pict>
          </mc:Fallback>
        </mc:AlternateContent>
      </w:r>
    </w:p>
    <w:p>
      <w:pPr>
        <w:pStyle w:val="126"/>
      </w:pPr>
    </w:p>
    <w:sectPr>
      <w:footerReference r:id="rId5" w:type="default"/>
      <w:pgSz w:w="11906" w:h="16838"/>
      <w:pgMar w:top="567" w:right="1134" w:bottom="1134" w:left="1418"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DB13</w:t>
    </w:r>
    <w:r>
      <w:rPr>
        <w:rFonts w:hint="eastAsia"/>
        <w:lang w:val="en-US" w:eastAsia="zh-CN"/>
      </w:rPr>
      <w:t>03</w:t>
    </w:r>
    <w: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hAns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hAns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hAns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5"/>
      <w:suff w:val="nothing"/>
      <w:lvlText w:val="图%1　"/>
      <w:lvlJc w:val="left"/>
      <w:pPr>
        <w:ind w:left="0" w:firstLine="0"/>
      </w:pPr>
      <w:rPr>
        <w:rFonts w:hint="eastAsia" w:ascii="黑体" w:hAnsi="黑体"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16667BBD"/>
    <w:multiLevelType w:val="multilevel"/>
    <w:tmpl w:val="16667BBD"/>
    <w:lvl w:ilvl="0" w:tentative="0">
      <w:start w:val="1"/>
      <w:numFmt w:val="lowerLetter"/>
      <w:pStyle w:val="57"/>
      <w:lvlText w:val="%1)"/>
      <w:lvlJc w:val="left"/>
      <w:pPr>
        <w:tabs>
          <w:tab w:val="left" w:pos="840"/>
        </w:tabs>
        <w:ind w:left="839" w:hanging="419"/>
      </w:pPr>
      <w:rPr>
        <w:rFonts w:hint="eastAsia"/>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hAns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22827D5B"/>
    <w:multiLevelType w:val="multilevel"/>
    <w:tmpl w:val="22827D5B"/>
    <w:lvl w:ilvl="0" w:tentative="0">
      <w:start w:val="1"/>
      <w:numFmt w:val="none"/>
      <w:pStyle w:val="62"/>
      <w:suff w:val="nothing"/>
      <w:lvlText w:val="%1注："/>
      <w:lvlJc w:val="left"/>
      <w:pPr>
        <w:ind w:left="789" w:hanging="363"/>
      </w:pPr>
      <w:rPr>
        <w:rFonts w:hint="eastAsia" w:ascii="黑体" w:hAnsi="黑体" w:eastAsia="黑体"/>
        <w:b w:val="0"/>
        <w:i w:val="0"/>
        <w:color w:val="00000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6">
    <w:nsid w:val="262509D5"/>
    <w:multiLevelType w:val="multilevel"/>
    <w:tmpl w:val="262509D5"/>
    <w:lvl w:ilvl="0" w:tentative="0">
      <w:start w:val="1"/>
      <w:numFmt w:val="decimal"/>
      <w:suff w:val="nothing"/>
      <w:lvlText w:val="%1　"/>
      <w:lvlJc w:val="left"/>
      <w:pPr>
        <w:ind w:left="0" w:firstLine="0"/>
      </w:pPr>
      <w:rPr>
        <w:rFonts w:hint="eastAsia" w:ascii="黑体" w:hAnsi="黑体" w:eastAsia="黑体"/>
        <w:b w:val="0"/>
        <w:i w:val="0"/>
        <w:sz w:val="21"/>
        <w:szCs w:val="21"/>
      </w:rPr>
    </w:lvl>
    <w:lvl w:ilvl="1" w:tentative="0">
      <w:start w:val="1"/>
      <w:numFmt w:val="decimal"/>
      <w:suff w:val="nothing"/>
      <w:lvlText w:val="%1.%2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黑体"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4"/>
      <w:suff w:val="nothing"/>
      <w:lvlText w:val="%1.%2.%3.%4.%5 "/>
      <w:lvlJc w:val="left"/>
      <w:pPr>
        <w:ind w:left="0" w:firstLine="0"/>
      </w:pPr>
      <w:rPr>
        <w:rFonts w:hint="eastAsia" w:ascii="黑体" w:hAnsi="黑体" w:eastAsia="黑体"/>
        <w:b w:val="0"/>
        <w:i w:val="0"/>
        <w:sz w:val="21"/>
      </w:rPr>
    </w:lvl>
    <w:lvl w:ilvl="5" w:tentative="0">
      <w:start w:val="1"/>
      <w:numFmt w:val="decimal"/>
      <w:pStyle w:val="120"/>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C997416"/>
    <w:multiLevelType w:val="multilevel"/>
    <w:tmpl w:val="3C997416"/>
    <w:lvl w:ilvl="0" w:tentative="0">
      <w:start w:val="1"/>
      <w:numFmt w:val="decimal"/>
      <w:pStyle w:val="43"/>
      <w:suff w:val="space"/>
      <w:lvlText w:val="%1 "/>
      <w:lvlJc w:val="left"/>
      <w:pPr>
        <w:ind w:left="0" w:firstLine="0"/>
      </w:pPr>
      <w:rPr>
        <w:rFonts w:hint="eastAsia" w:eastAsia="黑体"/>
        <w:sz w:val="21"/>
      </w:rPr>
    </w:lvl>
    <w:lvl w:ilvl="1" w:tentative="0">
      <w:start w:val="1"/>
      <w:numFmt w:val="decimal"/>
      <w:pStyle w:val="40"/>
      <w:suff w:val="space"/>
      <w:lvlText w:val="%1.%2 "/>
      <w:lvlJc w:val="left"/>
      <w:pPr>
        <w:ind w:left="0" w:firstLine="0"/>
      </w:pPr>
      <w:rPr>
        <w:rFonts w:hint="eastAsia"/>
      </w:rPr>
    </w:lvl>
    <w:lvl w:ilvl="2" w:tentative="0">
      <w:start w:val="1"/>
      <w:numFmt w:val="decimal"/>
      <w:pStyle w:val="44"/>
      <w:suff w:val="space"/>
      <w:lvlText w:val="%1.%2.%3 "/>
      <w:lvlJc w:val="left"/>
      <w:pPr>
        <w:ind w:left="0" w:firstLine="0"/>
      </w:pPr>
      <w:rPr>
        <w:rFonts w:hint="eastAsia"/>
      </w:rPr>
    </w:lvl>
    <w:lvl w:ilvl="3" w:tentative="0">
      <w:start w:val="1"/>
      <w:numFmt w:val="decimal"/>
      <w:pStyle w:val="49"/>
      <w:suff w:val="space"/>
      <w:lvlText w:val="%1.%2.%3.%4 "/>
      <w:lvlJc w:val="left"/>
      <w:pPr>
        <w:ind w:left="0" w:firstLine="0"/>
      </w:pPr>
      <w:rPr>
        <w:rFonts w:hint="eastAsia"/>
      </w:rPr>
    </w:lvl>
    <w:lvl w:ilvl="4" w:tentative="0">
      <w:start w:val="1"/>
      <w:numFmt w:val="decimal"/>
      <w:pStyle w:val="53"/>
      <w:suff w:val="space"/>
      <w:lvlText w:val="%1.%2.%3.%4.%5 "/>
      <w:lvlJc w:val="left"/>
      <w:pPr>
        <w:ind w:left="0" w:firstLine="0"/>
      </w:pPr>
      <w:rPr>
        <w:rFonts w:hint="eastAsia"/>
      </w:rPr>
    </w:lvl>
    <w:lvl w:ilvl="5" w:tentative="0">
      <w:start w:val="1"/>
      <w:numFmt w:val="decimal"/>
      <w:pStyle w:val="54"/>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0"/>
      <w:suff w:val="nothing"/>
      <w:lvlText w:val="示例%1："/>
      <w:lvlJc w:val="left"/>
      <w:pPr>
        <w:ind w:left="0" w:firstLine="363"/>
      </w:pPr>
      <w:rPr>
        <w:rFonts w:hint="eastAsia" w:ascii="黑体" w:hAnsi="黑体"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FAD189F"/>
    <w:multiLevelType w:val="multilevel"/>
    <w:tmpl w:val="5FAD189F"/>
    <w:lvl w:ilvl="0" w:tentative="0">
      <w:start w:val="1"/>
      <w:numFmt w:val="lowerLetter"/>
      <w:pStyle w:val="117"/>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3"/>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3"/>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hAnsi="宋体" w:eastAsia="宋体"/>
        <w:b w:val="0"/>
        <w:i w:val="0"/>
        <w:sz w:val="21"/>
      </w:rPr>
    </w:lvl>
    <w:lvl w:ilvl="1" w:tentative="0">
      <w:start w:val="1"/>
      <w:numFmt w:val="decimal"/>
      <w:pStyle w:val="92"/>
      <w:lvlText w:val="%2)"/>
      <w:lvlJc w:val="left"/>
      <w:pPr>
        <w:tabs>
          <w:tab w:val="left" w:pos="840"/>
        </w:tabs>
        <w:ind w:left="839" w:hanging="419"/>
      </w:pPr>
      <w:rPr>
        <w:rFonts w:hint="eastAsia" w:ascii="宋体" w:hAns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5"/>
      <w:suff w:val="nothing"/>
      <w:lvlText w:val="%1注："/>
      <w:lvlJc w:val="left"/>
      <w:pPr>
        <w:ind w:left="726" w:hanging="363"/>
      </w:pPr>
      <w:rPr>
        <w:rFonts w:hint="eastAsia" w:ascii="黑体" w:hAns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0"/>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8"/>
  </w:num>
  <w:num w:numId="4">
    <w:abstractNumId w:val="2"/>
  </w:num>
  <w:num w:numId="5">
    <w:abstractNumId w:val="4"/>
  </w:num>
  <w:num w:numId="6">
    <w:abstractNumId w:val="17"/>
  </w:num>
  <w:num w:numId="7">
    <w:abstractNumId w:val="0"/>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1"/>
  </w:num>
  <w:num w:numId="15">
    <w:abstractNumId w:val="6"/>
  </w:num>
  <w:num w:numId="16">
    <w:abstractNumId w:val="12"/>
  </w:num>
  <w:num w:numId="17">
    <w:abstractNumId w:val="14"/>
  </w:num>
  <w:num w:numId="18">
    <w:abstractNumId w:val="3"/>
  </w:num>
  <w:num w:numId="19">
    <w:abstractNumId w:val="18"/>
  </w:num>
  <w:num w:numId="20">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1">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2">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3">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4">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5">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6">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7">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8">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 w:numId="29">
    <w:abstractNumId w:val="4"/>
    <w:lvlOverride w:ilvl="0">
      <w:startOverride w:val="1"/>
      <w:lvl w:ilvl="0" w:tentative="1">
        <w:start w:val="1"/>
        <w:numFmt w:val="lowerLetter"/>
        <w:lvlText w:val="%1)"/>
        <w:lvlJc w:val="left"/>
        <w:pPr>
          <w:tabs>
            <w:tab w:val="left" w:pos="840"/>
          </w:tabs>
          <w:ind w:left="839" w:hanging="419"/>
        </w:pPr>
        <w:rPr>
          <w:rFonts w:hint="eastAsia"/>
          <w:b w:val="0"/>
          <w:i w:val="0"/>
          <w:sz w:val="21"/>
          <w:szCs w:val="21"/>
        </w:rPr>
      </w:lvl>
    </w:lvlOverride>
    <w:lvlOverride w:ilvl="1">
      <w:startOverride w:val="1"/>
      <w:lvl w:ilvl="1" w:tentative="1">
        <w:start w:val="1"/>
        <w:numFmt w:val="decimal"/>
        <w:lvlText w:val="%2)"/>
        <w:lvlJc w:val="left"/>
        <w:pPr>
          <w:tabs>
            <w:tab w:val="left" w:pos="1260"/>
          </w:tabs>
          <w:ind w:left="1259" w:hanging="419"/>
        </w:pPr>
        <w:rPr>
          <w:rFonts w:hint="eastAsia"/>
        </w:rPr>
      </w:lvl>
    </w:lvlOverride>
    <w:lvlOverride w:ilvl="2">
      <w:startOverride w:val="1"/>
      <w:lvl w:ilvl="2" w:tentative="1">
        <w:start w:val="1"/>
        <w:numFmt w:val="decimal"/>
        <w:lvlText w:val="(%3)"/>
        <w:lvlJc w:val="left"/>
        <w:pPr>
          <w:tabs>
            <w:tab w:val="left" w:pos="0"/>
          </w:tabs>
          <w:ind w:left="1679" w:hanging="420"/>
        </w:pPr>
        <w:rPr>
          <w:rFonts w:hint="eastAsia" w:ascii="宋体" w:hAnsi="宋体" w:eastAsia="宋体"/>
          <w:b w:val="0"/>
          <w:i w:val="0"/>
          <w:sz w:val="21"/>
          <w:szCs w:val="21"/>
        </w:rPr>
      </w:lvl>
    </w:lvlOverride>
    <w:lvlOverride w:ilvl="3">
      <w:startOverride w:val="1"/>
      <w:lvl w:ilvl="3" w:tentative="1">
        <w:start w:val="1"/>
        <w:numFmt w:val="decimal"/>
        <w:lvlText w:val="%4."/>
        <w:lvlJc w:val="left"/>
        <w:pPr>
          <w:tabs>
            <w:tab w:val="left" w:pos="2100"/>
          </w:tabs>
          <w:ind w:left="2099" w:hanging="419"/>
        </w:pPr>
        <w:rPr>
          <w:rFonts w:hint="eastAsia"/>
        </w:rPr>
      </w:lvl>
    </w:lvlOverride>
    <w:lvlOverride w:ilvl="4">
      <w:startOverride w:val="1"/>
      <w:lvl w:ilvl="4" w:tentative="1">
        <w:start w:val="1"/>
        <w:numFmt w:val="lowerLetter"/>
        <w:lvlText w:val="%5)"/>
        <w:lvlJc w:val="left"/>
        <w:pPr>
          <w:tabs>
            <w:tab w:val="left" w:pos="2520"/>
          </w:tabs>
          <w:ind w:left="2519" w:hanging="419"/>
        </w:pPr>
        <w:rPr>
          <w:rFonts w:hint="eastAsia"/>
        </w:rPr>
      </w:lvl>
    </w:lvlOverride>
    <w:lvlOverride w:ilvl="5">
      <w:startOverride w:val="1"/>
      <w:lvl w:ilvl="5" w:tentative="1">
        <w:start w:val="1"/>
        <w:numFmt w:val="lowerRoman"/>
        <w:lvlText w:val="%6."/>
        <w:lvlJc w:val="right"/>
        <w:pPr>
          <w:tabs>
            <w:tab w:val="left" w:pos="2940"/>
          </w:tabs>
          <w:ind w:left="2939" w:hanging="419"/>
        </w:pPr>
        <w:rPr>
          <w:rFonts w:hint="eastAsia"/>
        </w:rPr>
      </w:lvl>
    </w:lvlOverride>
    <w:lvlOverride w:ilvl="6">
      <w:startOverride w:val="1"/>
      <w:lvl w:ilvl="6" w:tentative="1">
        <w:start w:val="1"/>
        <w:numFmt w:val="decimal"/>
        <w:lvlText w:val="%7."/>
        <w:lvlJc w:val="left"/>
        <w:pPr>
          <w:tabs>
            <w:tab w:val="left" w:pos="3360"/>
          </w:tabs>
          <w:ind w:left="3359" w:hanging="419"/>
        </w:pPr>
        <w:rPr>
          <w:rFonts w:hint="eastAsia"/>
        </w:rPr>
      </w:lvl>
    </w:lvlOverride>
    <w:lvlOverride w:ilvl="7">
      <w:startOverride w:val="1"/>
      <w:lvl w:ilvl="7" w:tentative="1">
        <w:start w:val="1"/>
        <w:numFmt w:val="lowerLetter"/>
        <w:lvlText w:val="%8)"/>
        <w:lvlJc w:val="left"/>
        <w:pPr>
          <w:tabs>
            <w:tab w:val="left" w:pos="3780"/>
          </w:tabs>
          <w:ind w:left="3779" w:hanging="419"/>
        </w:pPr>
        <w:rPr>
          <w:rFonts w:hint="eastAsia"/>
        </w:rPr>
      </w:lvl>
    </w:lvlOverride>
    <w:lvlOverride w:ilvl="8">
      <w:startOverride w:val="1"/>
      <w:lvl w:ilvl="8" w:tentative="1">
        <w:start w:val="1"/>
        <w:numFmt w:val="lowerRoman"/>
        <w:lvlText w:val="%9."/>
        <w:lvlJc w:val="right"/>
        <w:pPr>
          <w:tabs>
            <w:tab w:val="left" w:pos="4200"/>
          </w:tabs>
          <w:ind w:left="4199" w:hanging="41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11AE09EA"/>
    <w:rsid w:val="170E75B4"/>
    <w:rsid w:val="17EF5E44"/>
    <w:rsid w:val="19A332F3"/>
    <w:rsid w:val="1C690DEE"/>
    <w:rsid w:val="1E977640"/>
    <w:rsid w:val="1F18551D"/>
    <w:rsid w:val="21250D20"/>
    <w:rsid w:val="22101F13"/>
    <w:rsid w:val="2352091D"/>
    <w:rsid w:val="268657AE"/>
    <w:rsid w:val="2B4400E1"/>
    <w:rsid w:val="2F6D5EB0"/>
    <w:rsid w:val="35960353"/>
    <w:rsid w:val="37C81799"/>
    <w:rsid w:val="41E57668"/>
    <w:rsid w:val="431647BC"/>
    <w:rsid w:val="48FB26CD"/>
    <w:rsid w:val="50D7634B"/>
    <w:rsid w:val="53D939B4"/>
    <w:rsid w:val="688741E9"/>
    <w:rsid w:val="7A540E50"/>
    <w:rsid w:val="7D980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lang w:val="zh-CN"/>
    </w:rPr>
  </w:style>
  <w:style w:type="paragraph" w:styleId="4">
    <w:name w:val="heading 3"/>
    <w:basedOn w:val="1"/>
    <w:next w:val="1"/>
    <w:qFormat/>
    <w:uiPriority w:val="0"/>
    <w:pPr>
      <w:keepNext/>
      <w:keepLines/>
      <w:widowControl w:val="0"/>
      <w:spacing w:before="260" w:after="260" w:line="415" w:lineRule="auto"/>
      <w:outlineLvl w:val="2"/>
    </w:pPr>
    <w:rPr>
      <w:rFonts w:ascii="Calibri" w:hAnsi="Calibri"/>
      <w:b/>
      <w:bCs/>
      <w:sz w:val="32"/>
      <w:szCs w:val="32"/>
      <w:lang w:val="zh-CN"/>
    </w:rPr>
  </w:style>
  <w:style w:type="character" w:default="1" w:styleId="33">
    <w:name w:val="Default Paragraph Font"/>
    <w:qFormat/>
    <w:uiPriority w:val="0"/>
  </w:style>
  <w:style w:type="table" w:default="1" w:styleId="39">
    <w:name w:val="Normal Table"/>
    <w:semiHidden/>
    <w:qFormat/>
    <w:uiPriority w:val="0"/>
    <w:tblPr>
      <w:tblLayout w:type="fixed"/>
      <w:tblCellMar>
        <w:top w:w="0" w:type="dxa"/>
        <w:left w:w="108" w:type="dxa"/>
        <w:bottom w:w="0" w:type="dxa"/>
        <w:right w:w="108" w:type="dxa"/>
      </w:tblCellMar>
    </w:tblPr>
  </w:style>
  <w:style w:type="paragraph" w:styleId="5">
    <w:name w:val="toc 7"/>
    <w:basedOn w:val="1"/>
    <w:next w:val="1"/>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0"/>
    <w:pPr>
      <w:tabs>
        <w:tab w:val="right" w:leader="dot" w:pos="9241"/>
      </w:tabs>
      <w:ind w:firstLine="100" w:firstLineChars="100"/>
      <w:jc w:val="left"/>
    </w:pPr>
    <w:rPr>
      <w:rFonts w:ascii="宋体"/>
      <w:szCs w:val="21"/>
    </w:rPr>
  </w:style>
  <w:style w:type="paragraph" w:styleId="14">
    <w:name w:val="toc 8"/>
    <w:basedOn w:val="1"/>
    <w:next w:val="1"/>
    <w:qFormat/>
    <w:uiPriority w:val="0"/>
    <w:pPr>
      <w:tabs>
        <w:tab w:val="right" w:leader="dot" w:pos="9241"/>
      </w:tabs>
      <w:ind w:firstLine="60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qFormat/>
    <w:uiPriority w:val="0"/>
    <w:pPr>
      <w:snapToGrid w:val="0"/>
      <w:jc w:val="left"/>
    </w:pPr>
  </w:style>
  <w:style w:type="paragraph" w:styleId="17">
    <w:name w:val="Balloon Text"/>
    <w:basedOn w:val="1"/>
    <w:qFormat/>
    <w:uiPriority w:val="0"/>
    <w:rPr>
      <w:sz w:val="18"/>
      <w:szCs w:val="18"/>
    </w:rPr>
  </w:style>
  <w:style w:type="paragraph" w:styleId="18">
    <w:name w:val="footer"/>
    <w:basedOn w:val="1"/>
    <w:qFormat/>
    <w:uiPriority w:val="0"/>
    <w:pPr>
      <w:snapToGrid w:val="0"/>
      <w:ind w:right="10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0"/>
    <w:pPr>
      <w:tabs>
        <w:tab w:val="right" w:leader="dot" w:pos="9242"/>
      </w:tabs>
      <w:ind w:left="100" w:leftChars="100"/>
    </w:pPr>
    <w:rPr>
      <w:rFonts w:ascii="宋体"/>
      <w:szCs w:val="21"/>
    </w:rPr>
  </w:style>
  <w:style w:type="paragraph" w:styleId="30">
    <w:name w:val="toc 9"/>
    <w:basedOn w:val="1"/>
    <w:next w:val="1"/>
    <w:qFormat/>
    <w:uiPriority w:val="0"/>
    <w:pPr>
      <w:ind w:left="1470"/>
      <w:jc w:val="left"/>
    </w:pPr>
    <w:rPr>
      <w:sz w:val="20"/>
      <w:szCs w:val="20"/>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character" w:styleId="34">
    <w:name w:val="Strong"/>
    <w:qFormat/>
    <w:uiPriority w:val="0"/>
    <w:rPr>
      <w:b/>
      <w:bCs/>
    </w:rPr>
  </w:style>
  <w:style w:type="character" w:styleId="35">
    <w:name w:val="endnote reference"/>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0"/>
    <w:rPr>
      <w:color w:val="0000FF"/>
      <w:spacing w:val="0"/>
      <w:w w:val="100"/>
      <w:szCs w:val="21"/>
      <w:u w:val="single"/>
    </w:rPr>
  </w:style>
  <w:style w:type="character" w:styleId="38">
    <w:name w:val="footnote reference"/>
    <w:qFormat/>
    <w:uiPriority w:val="0"/>
    <w:rPr>
      <w:vertAlign w:val="superscript"/>
    </w:rPr>
  </w:style>
  <w:style w:type="paragraph" w:customStyle="1" w:styleId="40">
    <w:name w:val="一级条标题"/>
    <w:next w:val="24"/>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4"/>
    <w:qFormat/>
    <w:uiPriority w:val="0"/>
    <w:pPr>
      <w:numPr>
        <w:ilvl w:val="0"/>
        <w:numId w:val="2"/>
      </w:numPr>
      <w:spacing w:before="100" w:beforeLines="100" w:after="100" w:afterLines="100"/>
      <w:jc w:val="both"/>
      <w:outlineLvl w:val="1"/>
    </w:pPr>
    <w:rPr>
      <w:rFonts w:ascii="黑体" w:hAnsi="Times New Roman" w:eastAsia="黑体" w:cs="Times New Roman"/>
      <w:sz w:val="21"/>
      <w:szCs w:val="20"/>
      <w:lang w:val="en-US" w:eastAsia="zh-CN" w:bidi="ar-SA"/>
    </w:rPr>
  </w:style>
  <w:style w:type="paragraph" w:customStyle="1" w:styleId="44">
    <w:name w:val="二级条标题"/>
    <w:basedOn w:val="40"/>
    <w:next w:val="24"/>
    <w:qFormat/>
    <w:uiPriority w:val="0"/>
    <w:pPr>
      <w:numPr>
        <w:ilvl w:val="2"/>
        <w:numId w:val="2"/>
      </w:numPr>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szCs w:val="20"/>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szCs w:val="20"/>
      <w:lang w:val="en-US" w:eastAsia="zh-CN" w:bidi="ar-SA"/>
    </w:rPr>
  </w:style>
  <w:style w:type="paragraph" w:customStyle="1" w:styleId="4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4"/>
    <w:qFormat/>
    <w:uiPriority w:val="0"/>
    <w:pPr>
      <w:numPr>
        <w:ilvl w:val="3"/>
        <w:numId w:val="2"/>
      </w:numPr>
      <w:spacing w:before="156" w:beforeLines="0" w:after="156" w:afterLines="0"/>
      <w:outlineLvl w:val="4"/>
    </w:pPr>
    <w:rPr>
      <w:rFonts w:ascii="宋体" w:hAnsi="宋体"/>
    </w:r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tabs>
        <w:tab w:val="left" w:pos="840"/>
      </w:tabs>
      <w:jc w:val="both"/>
    </w:pPr>
    <w:rPr>
      <w:rFonts w:ascii="宋体" w:hAnsi="Times New Roman" w:eastAsia="宋体" w:cs="Times New Roman"/>
      <w:sz w:val="21"/>
      <w:szCs w:val="20"/>
      <w:lang w:val="en-US" w:eastAsia="zh-CN" w:bidi="ar-SA"/>
    </w:rPr>
  </w:style>
  <w:style w:type="paragraph" w:customStyle="1" w:styleId="53">
    <w:name w:val="四级条标题"/>
    <w:basedOn w:val="49"/>
    <w:next w:val="24"/>
    <w:qFormat/>
    <w:uiPriority w:val="0"/>
    <w:pPr>
      <w:numPr>
        <w:ilvl w:val="4"/>
        <w:numId w:val="2"/>
      </w:numPr>
      <w:outlineLvl w:val="5"/>
    </w:pPr>
  </w:style>
  <w:style w:type="paragraph" w:customStyle="1" w:styleId="54">
    <w:name w:val="五级条标题"/>
    <w:basedOn w:val="53"/>
    <w:next w:val="24"/>
    <w:qFormat/>
    <w:uiPriority w:val="0"/>
    <w:pPr>
      <w:numPr>
        <w:ilvl w:val="5"/>
        <w:numId w:val="2"/>
      </w:numPr>
      <w:spacing w:before="50" w:after="50"/>
      <w:outlineLvl w:val="6"/>
    </w:pPr>
  </w:style>
  <w:style w:type="paragraph" w:customStyle="1" w:styleId="55">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szCs w:val="20"/>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rPr>
      <w:rFonts w:ascii="宋体" w:hAnsi="Times New Roman" w:eastAsia="宋体" w:cs="Times New Roman"/>
      <w:sz w:val="21"/>
      <w:szCs w:val="20"/>
      <w:lang w:val="en-US" w:eastAsia="zh-CN" w:bidi="ar-SA"/>
    </w:rPr>
  </w:style>
  <w:style w:type="paragraph" w:customStyle="1" w:styleId="60">
    <w:name w:val="示例×："/>
    <w:basedOn w:val="43"/>
    <w:qFormat/>
    <w:uiPriority w:val="0"/>
    <w:pPr>
      <w:numPr>
        <w:ilvl w:val="0"/>
        <w:numId w:val="8"/>
      </w:numPr>
      <w:spacing w:before="0" w:beforeLines="0" w:after="0" w:afterLines="0"/>
      <w:outlineLvl w:val="9"/>
    </w:pPr>
    <w:rPr>
      <w:rFonts w:ascii="宋体" w:eastAsia="宋体"/>
      <w:sz w:val="18"/>
      <w:szCs w:val="18"/>
    </w:rPr>
  </w:style>
  <w:style w:type="paragraph" w:customStyle="1" w:styleId="61">
    <w:name w:val="五级无标题条"/>
    <w:basedOn w:val="54"/>
    <w:qFormat/>
    <w:uiPriority w:val="0"/>
    <w:pPr>
      <w:spacing w:before="0" w:after="0"/>
    </w:pPr>
    <w:rPr>
      <w:rFonts w:eastAsia="宋体"/>
    </w:rPr>
  </w:style>
  <w:style w:type="paragraph" w:customStyle="1" w:styleId="62">
    <w:name w:val="注：（正文）"/>
    <w:basedOn w:val="55"/>
    <w:next w:val="24"/>
    <w:qFormat/>
    <w:uiPriority w:val="0"/>
    <w:pPr>
      <w:numPr>
        <w:ilvl w:val="0"/>
        <w:numId w:val="9"/>
      </w:numPr>
    </w:pPr>
  </w:style>
  <w:style w:type="paragraph" w:customStyle="1" w:styleId="63">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szCs w:val="20"/>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sz w:val="20"/>
      <w:szCs w:val="20"/>
      <w:lang w:val="en-US" w:eastAsia="zh-CN" w:bidi="ar-SA"/>
    </w:rPr>
  </w:style>
  <w:style w:type="paragraph" w:customStyle="1" w:styleId="69">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qFormat/>
    <w:uiPriority w:val="0"/>
    <w:rPr>
      <w:rFonts w:ascii="黑体" w:eastAsia="黑体"/>
      <w:spacing w:val="85"/>
      <w:w w:val="100"/>
      <w:position w:val="3"/>
      <w:sz w:val="28"/>
      <w:szCs w:val="28"/>
    </w:rPr>
  </w:style>
  <w:style w:type="paragraph" w:customStyle="1" w:styleId="72">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0"/>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0"/>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0"/>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customStyle="1" w:styleId="77">
    <w:name w:val="封面标准英文名称"/>
    <w:basedOn w:val="76"/>
    <w:qFormat/>
    <w:uiPriority w:val="0"/>
    <w:pPr>
      <w:spacing w:before="370" w:line="400" w:lineRule="exact"/>
    </w:pPr>
    <w:rPr>
      <w:rFonts w:ascii="Times New Roman" w:hAnsi="Times New Roman"/>
      <w:sz w:val="28"/>
      <w:szCs w:val="28"/>
    </w:rPr>
  </w:style>
  <w:style w:type="paragraph" w:customStyle="1" w:styleId="78">
    <w:name w:val="封面一致性程度标识"/>
    <w:basedOn w:val="77"/>
    <w:qFormat/>
    <w:uiPriority w:val="0"/>
    <w:pPr>
      <w:spacing w:before="440"/>
    </w:pPr>
    <w:rPr>
      <w:rFonts w:ascii="宋体" w:eastAsia="宋体"/>
    </w:rPr>
  </w:style>
  <w:style w:type="paragraph" w:customStyle="1" w:styleId="79">
    <w:name w:val="封面标准文稿类别"/>
    <w:basedOn w:val="78"/>
    <w:qFormat/>
    <w:uiPriority w:val="0"/>
    <w:pPr>
      <w:spacing w:after="160" w:line="240" w:lineRule="auto"/>
    </w:pPr>
    <w:rPr>
      <w:sz w:val="24"/>
    </w:rPr>
  </w:style>
  <w:style w:type="paragraph" w:customStyle="1" w:styleId="80">
    <w:name w:val="封面标准文稿编辑信息"/>
    <w:basedOn w:val="79"/>
    <w:qFormat/>
    <w:uiPriority w:val="0"/>
    <w:pPr>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82">
    <w:name w:val="附录标识"/>
    <w:basedOn w:val="1"/>
    <w:next w:val="24"/>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4"/>
    <w:next w:val="24"/>
    <w:qFormat/>
    <w:uiPriority w:val="0"/>
    <w:pPr>
      <w:ind w:firstLine="0" w:firstLineChars="0"/>
      <w:jc w:val="center"/>
    </w:pPr>
    <w:rPr>
      <w:rFonts w:ascii="黑体" w:eastAsia="黑体"/>
    </w:rPr>
  </w:style>
  <w:style w:type="paragraph" w:customStyle="1" w:styleId="84">
    <w:name w:val="附录表标号"/>
    <w:basedOn w:val="1"/>
    <w:next w:val="24"/>
    <w:qFormat/>
    <w:uiPriority w:val="0"/>
    <w:pPr>
      <w:numPr>
        <w:ilvl w:val="0"/>
        <w:numId w:val="11"/>
      </w:numPr>
      <w:spacing w:line="14" w:lineRule="exact"/>
      <w:ind w:left="811" w:hanging="448"/>
      <w:jc w:val="center"/>
      <w:outlineLvl w:val="0"/>
    </w:pPr>
    <w:rPr>
      <w:color w:val="FFFFFF"/>
    </w:rPr>
  </w:style>
  <w:style w:type="paragraph" w:customStyle="1" w:styleId="85">
    <w:name w:val="附录表标题"/>
    <w:basedOn w:val="1"/>
    <w:next w:val="24"/>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6">
    <w:name w:val="附录二级条标题"/>
    <w:basedOn w:val="1"/>
    <w:next w:val="24"/>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50" w:beforeLines="0" w:after="50" w:afterLines="0"/>
    </w:pPr>
    <w:rPr>
      <w:rFonts w:ascii="宋体" w:eastAsia="宋体"/>
      <w:szCs w:val="21"/>
    </w:rPr>
  </w:style>
  <w:style w:type="paragraph" w:customStyle="1" w:styleId="88">
    <w:name w:val="附录公式"/>
    <w:basedOn w:val="24"/>
    <w:next w:val="24"/>
    <w:qFormat/>
    <w:uiPriority w:val="0"/>
  </w:style>
  <w:style w:type="paragraph" w:customStyle="1" w:styleId="89">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6"/>
    <w:next w:val="24"/>
    <w:qFormat/>
    <w:uiPriority w:val="0"/>
    <w:pPr>
      <w:outlineLvl w:val="4"/>
    </w:pPr>
  </w:style>
  <w:style w:type="paragraph" w:customStyle="1" w:styleId="91">
    <w:name w:val="附录三级无"/>
    <w:basedOn w:val="90"/>
    <w:qFormat/>
    <w:uiPriority w:val="0"/>
    <w:pPr>
      <w:tabs>
        <w:tab w:val="clear" w:pos="360"/>
      </w:tabs>
      <w:spacing w:before="50" w:beforeLines="0" w:after="5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szCs w:val="20"/>
      <w:lang w:val="en-US" w:eastAsia="zh-CN" w:bidi="ar-SA"/>
    </w:rPr>
  </w:style>
  <w:style w:type="paragraph" w:customStyle="1" w:styleId="93">
    <w:name w:val="附录四级条标题"/>
    <w:basedOn w:val="90"/>
    <w:next w:val="24"/>
    <w:qFormat/>
    <w:uiPriority w:val="0"/>
    <w:pPr>
      <w:outlineLvl w:val="5"/>
    </w:pPr>
  </w:style>
  <w:style w:type="paragraph" w:customStyle="1" w:styleId="94">
    <w:name w:val="附录四级无"/>
    <w:basedOn w:val="93"/>
    <w:qFormat/>
    <w:uiPriority w:val="0"/>
    <w:pPr>
      <w:tabs>
        <w:tab w:val="clear" w:pos="360"/>
      </w:tabs>
      <w:spacing w:before="50" w:beforeLines="0" w:after="5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7">
    <w:name w:val="附录五级条标题"/>
    <w:basedOn w:val="93"/>
    <w:next w:val="24"/>
    <w:qFormat/>
    <w:uiPriority w:val="0"/>
    <w:pPr>
      <w:outlineLvl w:val="6"/>
    </w:pPr>
  </w:style>
  <w:style w:type="paragraph" w:customStyle="1" w:styleId="98">
    <w:name w:val="附录五级无"/>
    <w:basedOn w:val="97"/>
    <w:qFormat/>
    <w:uiPriority w:val="0"/>
    <w:pPr>
      <w:tabs>
        <w:tab w:val="clear" w:pos="360"/>
      </w:tabs>
      <w:spacing w:before="50" w:beforeLines="0" w:after="50" w:afterLines="0"/>
    </w:pPr>
    <w:rPr>
      <w:rFonts w:ascii="宋体" w:eastAsia="宋体"/>
      <w:szCs w:val="21"/>
    </w:rPr>
  </w:style>
  <w:style w:type="paragraph" w:customStyle="1" w:styleId="99">
    <w:name w:val="附录章标题"/>
    <w:next w:val="24"/>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0">
    <w:name w:val="附录一级条标题"/>
    <w:basedOn w:val="99"/>
    <w:next w:val="24"/>
    <w:qFormat/>
    <w:uiPriority w:val="0"/>
    <w:pPr>
      <w:wordWrap w:val="0"/>
      <w:overflowPunct w:val="0"/>
      <w:autoSpaceDE w:val="0"/>
      <w:autoSpaceDN w:val="0"/>
      <w:spacing w:before="50" w:beforeLines="50" w:after="50" w:afterLines="50"/>
      <w:outlineLvl w:val="2"/>
    </w:pPr>
  </w:style>
  <w:style w:type="paragraph" w:customStyle="1" w:styleId="101">
    <w:name w:val="附录一级无"/>
    <w:basedOn w:val="100"/>
    <w:qFormat/>
    <w:uiPriority w:val="0"/>
    <w:pPr>
      <w:tabs>
        <w:tab w:val="clear" w:pos="360"/>
      </w:tabs>
      <w:spacing w:before="50" w:beforeLines="0" w:after="5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szCs w:val="20"/>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szCs w:val="20"/>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szCs w:val="20"/>
      <w:lang w:val="en-US" w:eastAsia="zh-CN" w:bidi="ar-SA"/>
    </w:rPr>
  </w:style>
  <w:style w:type="paragraph" w:customStyle="1" w:styleId="106">
    <w:name w:val="其他标准标志"/>
    <w:basedOn w:val="64"/>
    <w:qFormat/>
    <w:uiPriority w:val="0"/>
    <w:pPr>
      <w:framePr w:w="6101" w:vAnchor="page" w:hAnchor="page" w:x="4673" w:y="942"/>
    </w:pPr>
    <w:rPr>
      <w:w w:val="130"/>
    </w:rPr>
  </w:style>
  <w:style w:type="paragraph" w:customStyle="1" w:styleId="107">
    <w:name w:val="其他标准称谓"/>
    <w:next w:val="1"/>
    <w:qFormat/>
    <w:uiPriority w:val="0"/>
    <w:pPr>
      <w:framePr w:w="0"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2"/>
    <w:qFormat/>
    <w:uiPriority w:val="0"/>
    <w:pPr>
      <w:framePr w:y="15310"/>
      <w:spacing w:line="0" w:lineRule="atLeast"/>
    </w:pPr>
    <w:rPr>
      <w:rFonts w:ascii="黑体" w:eastAsia="黑体"/>
      <w:b w:val="0"/>
    </w:rPr>
  </w:style>
  <w:style w:type="paragraph" w:customStyle="1" w:styleId="109">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110">
    <w:name w:val="三级无标题条"/>
    <w:basedOn w:val="49"/>
    <w:qFormat/>
    <w:uiPriority w:val="0"/>
    <w:pPr>
      <w:spacing w:before="0" w:after="0"/>
    </w:pPr>
    <w:rPr>
      <w:rFonts w:eastAsia="宋体"/>
    </w:rPr>
  </w:style>
  <w:style w:type="paragraph" w:customStyle="1" w:styleId="111">
    <w:name w:val="实施日期"/>
    <w:basedOn w:val="73"/>
    <w:qFormat/>
    <w:uiPriority w:val="0"/>
    <w:pPr>
      <w:framePr w:vAnchor="page" w:hAnchor="text"/>
      <w:jc w:val="right"/>
    </w:pPr>
  </w:style>
  <w:style w:type="paragraph" w:customStyle="1" w:styleId="112">
    <w:name w:val="示例后文字"/>
    <w:basedOn w:val="24"/>
    <w:next w:val="24"/>
    <w:qFormat/>
    <w:uiPriority w:val="0"/>
    <w:rPr>
      <w:sz w:val="18"/>
    </w:rPr>
  </w:style>
  <w:style w:type="paragraph" w:customStyle="1" w:styleId="113">
    <w:name w:val="首示例"/>
    <w:next w:val="24"/>
    <w:qFormat/>
    <w:uiPriority w:val="0"/>
    <w:pPr>
      <w:numPr>
        <w:ilvl w:val="0"/>
        <w:numId w:val="14"/>
      </w:numPr>
      <w:tabs>
        <w:tab w:val="left" w:pos="360"/>
      </w:tabs>
      <w:ind w:left="0" w:firstLine="0"/>
    </w:pPr>
    <w:rPr>
      <w:rFonts w:ascii="宋体" w:hAnsi="宋体" w:eastAsia="宋体" w:cs="Times New Roman"/>
      <w:kern w:val="2"/>
      <w:sz w:val="18"/>
      <w:szCs w:val="18"/>
      <w:lang w:val="en-US" w:eastAsia="zh-CN" w:bidi="ar-SA"/>
    </w:rPr>
  </w:style>
  <w:style w:type="paragraph" w:customStyle="1" w:styleId="114">
    <w:name w:val="四级无"/>
    <w:basedOn w:val="53"/>
    <w:qFormat/>
    <w:uiPriority w:val="0"/>
    <w:pPr>
      <w:numPr>
        <w:ilvl w:val="4"/>
        <w:numId w:val="15"/>
      </w:numPr>
    </w:pPr>
    <w:rPr>
      <w:rFonts w:ascii="宋体" w:eastAsia="宋体"/>
    </w:rPr>
  </w:style>
  <w:style w:type="paragraph" w:customStyle="1" w:styleId="115">
    <w:name w:val="条文脚注"/>
    <w:basedOn w:val="25"/>
    <w:qFormat/>
    <w:uiPriority w:val="0"/>
    <w:pPr>
      <w:numPr>
        <w:ilvl w:val="0"/>
        <w:numId w:val="0"/>
      </w:numPr>
      <w:jc w:val="both"/>
    </w:pPr>
  </w:style>
  <w:style w:type="paragraph" w:customStyle="1" w:styleId="116">
    <w:name w:val="图标脚注说明"/>
    <w:basedOn w:val="24"/>
    <w:qFormat/>
    <w:uiPriority w:val="0"/>
    <w:pPr>
      <w:ind w:left="840" w:hanging="420" w:firstLineChars="0"/>
    </w:pPr>
    <w:rPr>
      <w:sz w:val="18"/>
      <w:szCs w:val="18"/>
    </w:rPr>
  </w:style>
  <w:style w:type="paragraph" w:customStyle="1" w:styleId="117">
    <w:name w:val="图表脚注说明"/>
    <w:basedOn w:val="1"/>
    <w:qFormat/>
    <w:uiPriority w:val="0"/>
    <w:pPr>
      <w:numPr>
        <w:ilvl w:val="0"/>
        <w:numId w:val="16"/>
      </w:numPr>
    </w:pPr>
    <w:rPr>
      <w:rFonts w:ascii="宋体"/>
      <w:sz w:val="18"/>
      <w:szCs w:val="18"/>
    </w:rPr>
  </w:style>
  <w:style w:type="paragraph" w:customStyle="1" w:styleId="118">
    <w:name w:val="图的脚注"/>
    <w:next w:val="24"/>
    <w:qFormat/>
    <w:uiPriority w:val="0"/>
    <w:pPr>
      <w:widowControl w:val="0"/>
      <w:ind w:left="400" w:leftChars="200" w:hanging="200" w:hangingChars="200"/>
      <w:jc w:val="both"/>
    </w:pPr>
    <w:rPr>
      <w:rFonts w:ascii="宋体" w:hAnsi="Times New Roman" w:eastAsia="宋体" w:cs="Times New Roman"/>
      <w:sz w:val="18"/>
      <w:szCs w:val="20"/>
      <w:lang w:val="en-US" w:eastAsia="zh-CN" w:bidi="ar-SA"/>
    </w:rPr>
  </w:style>
  <w:style w:type="paragraph" w:customStyle="1" w:styleId="119">
    <w:name w:val="文献分类号"/>
    <w:qFormat/>
    <w:uiPriority w:val="0"/>
    <w:pPr>
      <w:framePr w:w="0"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4"/>
    <w:qFormat/>
    <w:uiPriority w:val="0"/>
    <w:pPr>
      <w:numPr>
        <w:ilvl w:val="5"/>
        <w:numId w:val="15"/>
      </w:numPr>
    </w:pPr>
    <w:rPr>
      <w:rFonts w:ascii="宋体" w:eastAsia="宋体"/>
    </w:rPr>
  </w:style>
  <w:style w:type="paragraph" w:customStyle="1" w:styleId="121">
    <w:name w:val="四级无标题条"/>
    <w:basedOn w:val="53"/>
    <w:qFormat/>
    <w:uiPriority w:val="0"/>
    <w:pPr>
      <w:spacing w:before="0" w:after="0"/>
    </w:pPr>
    <w:rPr>
      <w:rFonts w:eastAsia="宋体"/>
    </w:rPr>
  </w:style>
  <w:style w:type="character" w:customStyle="1" w:styleId="122">
    <w:name w:val="已访问的超链接1"/>
    <w:qFormat/>
    <w:uiPriority w:val="0"/>
    <w:rPr>
      <w:color w:val="800080"/>
      <w:u w:val="single"/>
    </w:rPr>
  </w:style>
  <w:style w:type="paragraph" w:customStyle="1" w:styleId="123">
    <w:name w:val="正文表标题"/>
    <w:next w:val="24"/>
    <w:qFormat/>
    <w:uiPriority w:val="0"/>
    <w:pPr>
      <w:numPr>
        <w:ilvl w:val="0"/>
        <w:numId w:val="17"/>
      </w:num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24">
    <w:name w:val="正文公式编号制表符"/>
    <w:basedOn w:val="24"/>
    <w:next w:val="24"/>
    <w:qFormat/>
    <w:uiPriority w:val="0"/>
    <w:pPr>
      <w:ind w:firstLine="0" w:firstLineChars="0"/>
    </w:pPr>
  </w:style>
  <w:style w:type="paragraph" w:customStyle="1" w:styleId="125">
    <w:name w:val="正文图标题"/>
    <w:next w:val="24"/>
    <w:qFormat/>
    <w:uiPriority w:val="0"/>
    <w:pPr>
      <w:numPr>
        <w:ilvl w:val="0"/>
        <w:numId w:val="18"/>
      </w:numPr>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126">
    <w:name w:val="终结线"/>
    <w:basedOn w:val="1"/>
    <w:qFormat/>
    <w:uiPriority w:val="0"/>
    <w:pPr>
      <w:framePr w:w="0" w:hSpace="181" w:vSpace="181" w:wrap="around" w:vAnchor="text" w:hAnchor="margin" w:xAlign="center" w:y="285"/>
    </w:pPr>
  </w:style>
  <w:style w:type="paragraph" w:customStyle="1" w:styleId="127">
    <w:name w:val="其他发布日期"/>
    <w:basedOn w:val="73"/>
    <w:qFormat/>
    <w:uiPriority w:val="0"/>
    <w:pPr>
      <w:framePr w:vAnchor="page" w:hAnchor="text" w:x="1419"/>
    </w:pPr>
  </w:style>
  <w:style w:type="paragraph" w:customStyle="1" w:styleId="128">
    <w:name w:val="其他实施日期"/>
    <w:basedOn w:val="111"/>
    <w:qFormat/>
    <w:uiPriority w:val="0"/>
  </w:style>
  <w:style w:type="paragraph" w:customStyle="1" w:styleId="129">
    <w:name w:val="封面标准名称2"/>
    <w:basedOn w:val="76"/>
    <w:qFormat/>
    <w:uiPriority w:val="0"/>
    <w:pPr>
      <w:framePr w:y="4469"/>
      <w:spacing w:before="630" w:beforeLines="630"/>
    </w:pPr>
  </w:style>
  <w:style w:type="paragraph" w:customStyle="1" w:styleId="130">
    <w:name w:val="封面标准英文名称2"/>
    <w:basedOn w:val="77"/>
    <w:qFormat/>
    <w:uiPriority w:val="0"/>
    <w:pPr>
      <w:framePr w:y="4469"/>
    </w:pPr>
  </w:style>
  <w:style w:type="paragraph" w:customStyle="1" w:styleId="131">
    <w:name w:val="封面一致性程度标识2"/>
    <w:basedOn w:val="78"/>
    <w:qFormat/>
    <w:uiPriority w:val="0"/>
    <w:pPr>
      <w:framePr w:y="4469"/>
    </w:pPr>
  </w:style>
  <w:style w:type="paragraph" w:customStyle="1" w:styleId="132">
    <w:name w:val="封面标准文稿类别2"/>
    <w:basedOn w:val="79"/>
    <w:qFormat/>
    <w:uiPriority w:val="0"/>
    <w:pPr>
      <w:framePr w:y="4469"/>
    </w:pPr>
  </w:style>
  <w:style w:type="paragraph" w:customStyle="1" w:styleId="133">
    <w:name w:val="封面标准文稿编辑信息2"/>
    <w:basedOn w:val="80"/>
    <w:qFormat/>
    <w:uiPriority w:val="0"/>
    <w:pPr>
      <w:framePr w:y="4469"/>
    </w:pPr>
  </w:style>
  <w:style w:type="paragraph" w:customStyle="1" w:styleId="134">
    <w:name w:val="列出段落1"/>
    <w:basedOn w:val="1"/>
    <w:qFormat/>
    <w:uiPriority w:val="0"/>
    <w:pPr>
      <w:ind w:firstLine="200" w:firstLineChars="200"/>
    </w:pPr>
    <w:rPr>
      <w:rFonts w:ascii="Calibri" w:hAnsi="Calibri"/>
      <w:sz w:val="28"/>
      <w:szCs w:val="22"/>
    </w:rPr>
  </w:style>
  <w:style w:type="paragraph" w:customStyle="1" w:styleId="135">
    <w:name w:val="TOC 标题1"/>
    <w:basedOn w:val="2"/>
    <w:next w:val="1"/>
    <w:qFormat/>
    <w:uiPriority w:val="0"/>
    <w:pPr>
      <w:keepNext/>
      <w:keepLines/>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6">
    <w:name w:val="Revision"/>
    <w:qFormat/>
    <w:uiPriority w:val="0"/>
    <w:rPr>
      <w:rFonts w:ascii="Times New Roman" w:hAnsi="Times New Roman" w:eastAsia="宋体" w:cs="Times New Roman"/>
      <w:kern w:val="2"/>
      <w:sz w:val="21"/>
      <w:szCs w:val="24"/>
      <w:lang w:val="en-US" w:eastAsia="zh-CN" w:bidi="ar-SA"/>
    </w:rPr>
  </w:style>
  <w:style w:type="paragraph" w:customStyle="1" w:styleId="137">
    <w:name w:val="一级无标题条"/>
    <w:basedOn w:val="40"/>
    <w:qFormat/>
    <w:uiPriority w:val="0"/>
    <w:pPr>
      <w:spacing w:before="0" w:beforeLines="0" w:after="0" w:afterLines="0"/>
    </w:pPr>
    <w:rPr>
      <w:rFonts w:ascii="宋体" w:hAnsi="宋体" w:eastAsia="宋体"/>
    </w:rPr>
  </w:style>
  <w:style w:type="paragraph" w:customStyle="1" w:styleId="138">
    <w:name w:val="二级无标题条"/>
    <w:basedOn w:val="44"/>
    <w:qFormat/>
    <w:uiPriority w:val="0"/>
    <w:pPr>
      <w:spacing w:before="0" w:beforeLines="0" w:after="0" w:afterLines="0"/>
    </w:pPr>
    <w:rPr>
      <w:rFonts w:ascii="宋体" w:hAnsi="宋体" w:eastAsia="宋体"/>
    </w:rPr>
  </w:style>
  <w:style w:type="paragraph" w:customStyle="1" w:styleId="139">
    <w:name w:val="术语"/>
    <w:basedOn w:val="24"/>
    <w:next w:val="24"/>
    <w:qFormat/>
    <w:uiPriority w:val="0"/>
    <w:rPr>
      <w:rFonts w:ascii="黑体" w:hAnsi="黑体" w:eastAsia="黑体"/>
      <w:color w:val="000000"/>
    </w:rPr>
  </w:style>
  <w:style w:type="paragraph" w:customStyle="1" w:styleId="140">
    <w:name w:val="参考文献正文"/>
    <w:basedOn w:val="24"/>
    <w:qFormat/>
    <w:uiPriority w:val="0"/>
    <w:pPr>
      <w:numPr>
        <w:ilvl w:val="1"/>
        <w:numId w:val="19"/>
      </w:numPr>
      <w:tabs>
        <w:tab w:val="clear" w:pos="4201"/>
        <w:tab w:val="clear" w:pos="9298"/>
      </w:tabs>
      <w:ind w:left="0" w:firstLine="420" w:firstLineChars="0"/>
      <w:jc w:val="left"/>
    </w:pPr>
  </w:style>
  <w:style w:type="paragraph" w:styleId="141">
    <w:name w:val="List Paragraph"/>
    <w:basedOn w:val="1"/>
    <w:qFormat/>
    <w:uiPriority w:val="0"/>
    <w:pPr>
      <w:widowControl/>
      <w:ind w:firstLine="200" w:firstLineChars="200"/>
      <w:jc w:val="left"/>
    </w:pPr>
    <w:rPr>
      <w:rFonts w:ascii="宋体" w:hAnsi="宋体" w:cs="宋体"/>
      <w:kern w:val="0"/>
      <w:sz w:val="24"/>
    </w:rPr>
  </w:style>
  <w:style w:type="character" w:styleId="142">
    <w:name w:val="Placeholder Text"/>
    <w:basedOn w:val="33"/>
    <w:qFormat/>
    <w:uiPriority w:val="0"/>
    <w:rPr>
      <w:color w:val="808080"/>
    </w:rPr>
  </w:style>
  <w:style w:type="paragraph" w:customStyle="1" w:styleId="143">
    <w:name w:val="附录章无标题"/>
    <w:qFormat/>
    <w:uiPriority w:val="0"/>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BCE15-D99A-4CA4-AED3-4AA7FC8ABF32}">
  <ds:schemaRefs/>
</ds:datastoreItem>
</file>

<file path=docProps/app.xml><?xml version="1.0" encoding="utf-8"?>
<Properties xmlns="http://schemas.openxmlformats.org/officeDocument/2006/extended-properties" xmlns:vt="http://schemas.openxmlformats.org/officeDocument/2006/docPropsVTypes">
  <Template>Normal.eit</Template>
  <Pages>18</Pages>
  <Words>0</Words>
  <Characters>9019</Characters>
  <Lines>0</Lines>
  <Paragraphs>367</Paragraphs>
  <TotalTime>22</TotalTime>
  <ScaleCrop>false</ScaleCrop>
  <LinksUpToDate>false</LinksUpToDate>
  <CharactersWithSpaces>12026</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2024-01-22T02:22:00Z</dcterms:created>
  <dc:creator>张倩</dc:creator>
  <cp:lastModifiedBy>郑亚巍</cp:lastModifiedBy>
  <cp:lastPrinted>2024-04-23T08:28:00Z</cp:lastPrinted>
  <dcterms:modified xsi:type="dcterms:W3CDTF">2024-08-22T08:58:42Z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