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A5E91">
      <w:pPr>
        <w:widowControl w:val="0"/>
        <w:kinsoku/>
        <w:autoSpaceDE/>
        <w:autoSpaceDN/>
        <w:adjustRightInd/>
        <w:snapToGrid/>
        <w:spacing w:line="500" w:lineRule="exact"/>
        <w:jc w:val="center"/>
        <w:textAlignment w:val="auto"/>
        <w:rPr>
          <w:rFonts w:ascii="宋体" w:hAnsi="宋体" w:eastAsia="宋体" w:cs="方正小标宋简体"/>
          <w:snapToGrid/>
          <w:color w:val="auto"/>
          <w:kern w:val="2"/>
          <w:sz w:val="44"/>
          <w:szCs w:val="44"/>
        </w:rPr>
      </w:pPr>
      <w:bookmarkStart w:id="0" w:name="_GoBack"/>
      <w:r>
        <w:rPr>
          <w:rFonts w:hint="eastAsia" w:ascii="宋体" w:hAnsi="宋体" w:eastAsia="宋体" w:cs="方正小标宋简体"/>
          <w:bCs/>
          <w:snapToGrid/>
          <w:color w:val="auto"/>
          <w:kern w:val="2"/>
          <w:sz w:val="44"/>
          <w:szCs w:val="44"/>
        </w:rPr>
        <w:t>秦皇岛市市场监督管理局</w:t>
      </w:r>
    </w:p>
    <w:p w14:paraId="0A7442C4">
      <w:pPr>
        <w:keepNext/>
        <w:widowControl w:val="0"/>
        <w:tabs>
          <w:tab w:val="left" w:pos="0"/>
        </w:tabs>
        <w:kinsoku/>
        <w:autoSpaceDE/>
        <w:autoSpaceDN/>
        <w:adjustRightInd/>
        <w:snapToGrid/>
        <w:spacing w:before="156" w:line="500" w:lineRule="exact"/>
        <w:jc w:val="center"/>
        <w:textAlignment w:val="auto"/>
        <w:outlineLvl w:val="0"/>
        <w:rPr>
          <w:rFonts w:ascii="宋体" w:hAnsi="宋体" w:eastAsia="宋体" w:cs="方正小标宋简体"/>
          <w:snapToGrid/>
          <w:color w:val="auto"/>
          <w:kern w:val="2"/>
          <w:sz w:val="44"/>
          <w:szCs w:val="44"/>
          <w:lang w:val="zh-CN" w:bidi="hi-IN"/>
        </w:rPr>
      </w:pPr>
      <w:r>
        <w:rPr>
          <w:rFonts w:hint="eastAsia" w:ascii="宋体" w:hAnsi="宋体" w:eastAsia="宋体" w:cs="方正小标宋简体"/>
          <w:snapToGrid/>
          <w:color w:val="auto"/>
          <w:kern w:val="2"/>
          <w:sz w:val="44"/>
          <w:szCs w:val="44"/>
          <w:lang w:val="zh-CN" w:bidi="hi-IN"/>
        </w:rPr>
        <w:t>行政处罚决定书</w:t>
      </w:r>
    </w:p>
    <w:p w14:paraId="4DCB6EE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color w:val="auto"/>
          <w:spacing w:val="-31"/>
          <w:sz w:val="32"/>
          <w:szCs w:val="32"/>
        </w:rPr>
      </w:pPr>
      <w:r>
        <w:rPr>
          <w:rFonts w:hint="eastAsia" w:ascii="仿宋" w:hAnsi="仿宋" w:eastAsia="仿宋" w:cs="Times New Roman"/>
          <w:b/>
          <w:bCs/>
          <w:snapToGrid/>
          <w:color w:val="auto"/>
          <w:kern w:val="2"/>
          <w:sz w:val="28"/>
          <w:szCs w:val="28"/>
          <w:lang w:val="zh-CN" w:bidi="hi-IN"/>
        </w:rPr>
        <w:t>秦市监处罚 [202</w:t>
      </w:r>
      <w:r>
        <w:rPr>
          <w:rFonts w:hint="eastAsia" w:ascii="仿宋" w:hAnsi="仿宋" w:eastAsia="仿宋" w:cs="Times New Roman"/>
          <w:b/>
          <w:bCs/>
          <w:snapToGrid/>
          <w:color w:val="auto"/>
          <w:kern w:val="2"/>
          <w:sz w:val="28"/>
          <w:szCs w:val="28"/>
          <w:lang w:val="en-US" w:eastAsia="zh-CN" w:bidi="hi-IN"/>
        </w:rPr>
        <w:t>4</w:t>
      </w:r>
      <w:r>
        <w:rPr>
          <w:rFonts w:hint="eastAsia" w:ascii="仿宋" w:hAnsi="仿宋" w:eastAsia="仿宋" w:cs="Times New Roman"/>
          <w:b/>
          <w:bCs/>
          <w:snapToGrid/>
          <w:color w:val="auto"/>
          <w:kern w:val="2"/>
          <w:sz w:val="28"/>
          <w:szCs w:val="28"/>
          <w:lang w:val="zh-CN" w:bidi="hi-IN"/>
        </w:rPr>
        <w:t>]2</w:t>
      </w:r>
      <w:r>
        <w:rPr>
          <w:rFonts w:ascii="仿宋" w:hAnsi="仿宋" w:eastAsia="仿宋" w:cs="Times New Roman"/>
          <w:b/>
          <w:bCs/>
          <w:snapToGrid/>
          <w:color w:val="auto"/>
          <w:kern w:val="2"/>
          <w:sz w:val="28"/>
          <w:szCs w:val="28"/>
          <w:lang w:val="zh-CN" w:bidi="hi-IN"/>
        </w:rPr>
        <w:t>00</w:t>
      </w:r>
      <w:r>
        <w:rPr>
          <w:rFonts w:hint="eastAsia" w:ascii="仿宋" w:hAnsi="仿宋" w:eastAsia="仿宋" w:cs="Times New Roman"/>
          <w:b/>
          <w:bCs/>
          <w:snapToGrid/>
          <w:color w:val="auto"/>
          <w:kern w:val="2"/>
          <w:sz w:val="28"/>
          <w:szCs w:val="28"/>
          <w:lang w:val="zh-CN" w:bidi="hi-IN"/>
        </w:rPr>
        <w:t>-</w:t>
      </w:r>
      <w:r>
        <w:rPr>
          <w:rFonts w:hint="eastAsia" w:ascii="仿宋" w:hAnsi="仿宋" w:eastAsia="仿宋" w:cs="Times New Roman"/>
          <w:b/>
          <w:bCs/>
          <w:snapToGrid/>
          <w:color w:val="auto"/>
          <w:kern w:val="2"/>
          <w:sz w:val="28"/>
          <w:szCs w:val="28"/>
          <w:lang w:val="en-US" w:eastAsia="zh-CN" w:bidi="hi-IN"/>
        </w:rPr>
        <w:t>27</w:t>
      </w:r>
      <w:r>
        <w:rPr>
          <w:rFonts w:hint="eastAsia" w:ascii="仿宋" w:hAnsi="仿宋" w:eastAsia="仿宋" w:cs="Times New Roman"/>
          <w:b/>
          <w:bCs/>
          <w:snapToGrid/>
          <w:color w:val="auto"/>
          <w:kern w:val="2"/>
          <w:sz w:val="28"/>
          <w:szCs w:val="28"/>
          <w:lang w:val="zh-CN" w:bidi="hi-IN"/>
        </w:rPr>
        <w:t>号</w:t>
      </w:r>
    </w:p>
    <w:p w14:paraId="2750E41F">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当事人：北戴河新区</w:t>
      </w:r>
      <w:r>
        <w:rPr>
          <w:rFonts w:hint="eastAsia" w:ascii="仿宋" w:hAnsi="仿宋" w:eastAsia="仿宋" w:cs="仿宋"/>
          <w:color w:val="auto"/>
          <w:sz w:val="32"/>
          <w:szCs w:val="32"/>
          <w:u w:val="none"/>
        </w:rPr>
        <w:t>陈厨记快餐店</w:t>
      </w:r>
    </w:p>
    <w:p w14:paraId="6DEBE0C3">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主体资格证照名称：营业执照</w:t>
      </w:r>
    </w:p>
    <w:p w14:paraId="6A35F4CC">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统一社会</w:t>
      </w:r>
      <w:r>
        <w:rPr>
          <w:rFonts w:hint="eastAsia" w:ascii="仿宋" w:hAnsi="仿宋" w:eastAsia="仿宋" w:cs="仿宋"/>
          <w:color w:val="auto"/>
          <w:sz w:val="32"/>
          <w:szCs w:val="32"/>
          <w:lang w:eastAsia="zh-CN"/>
        </w:rPr>
        <w:t>信</w:t>
      </w:r>
      <w:r>
        <w:rPr>
          <w:rFonts w:hint="eastAsia" w:ascii="仿宋" w:hAnsi="仿宋" w:eastAsia="仿宋" w:cs="仿宋"/>
          <w:color w:val="auto"/>
          <w:sz w:val="32"/>
          <w:szCs w:val="32"/>
        </w:rPr>
        <w:t>用代码：</w:t>
      </w:r>
      <w:r>
        <w:rPr>
          <w:rFonts w:hint="eastAsia" w:ascii="仿宋" w:hAnsi="仿宋" w:eastAsia="仿宋" w:cs="仿宋"/>
          <w:color w:val="auto"/>
          <w:sz w:val="32"/>
          <w:szCs w:val="32"/>
          <w:u w:val="none"/>
        </w:rPr>
        <w:t>92130392MAD2RG9P5K</w:t>
      </w:r>
    </w:p>
    <w:p w14:paraId="2D62CAF6">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经营场所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none"/>
        </w:rPr>
        <w:t>秦皇岛北戴河新区南戴河街道富强东里3-102号</w:t>
      </w:r>
    </w:p>
    <w:p w14:paraId="0F022D80">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经营者：</w:t>
      </w:r>
      <w:r>
        <w:rPr>
          <w:rFonts w:hint="eastAsia" w:ascii="仿宋" w:hAnsi="仿宋" w:eastAsia="仿宋" w:cs="仿宋"/>
          <w:color w:val="auto"/>
          <w:sz w:val="32"/>
          <w:szCs w:val="32"/>
          <w:u w:val="none"/>
        </w:rPr>
        <w:t>陈继生</w:t>
      </w:r>
    </w:p>
    <w:p w14:paraId="4894477D">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日，执法人员对</w:t>
      </w:r>
      <w:r>
        <w:rPr>
          <w:rFonts w:hint="eastAsia" w:ascii="仿宋" w:hAnsi="仿宋" w:eastAsia="仿宋" w:cs="仿宋"/>
          <w:color w:val="auto"/>
          <w:sz w:val="32"/>
          <w:szCs w:val="32"/>
        </w:rPr>
        <w:t>北戴河</w:t>
      </w:r>
      <w:r>
        <w:rPr>
          <w:rFonts w:hint="eastAsia" w:ascii="仿宋" w:hAnsi="仿宋" w:eastAsia="仿宋" w:cs="仿宋"/>
          <w:color w:val="auto"/>
          <w:sz w:val="32"/>
          <w:szCs w:val="32"/>
        </w:rPr>
        <w:t>新区</w:t>
      </w:r>
      <w:r>
        <w:rPr>
          <w:rFonts w:hint="eastAsia" w:ascii="仿宋" w:hAnsi="仿宋" w:eastAsia="仿宋" w:cs="仿宋"/>
          <w:color w:val="auto"/>
          <w:sz w:val="32"/>
          <w:szCs w:val="32"/>
          <w:u w:val="none"/>
        </w:rPr>
        <w:t>陈厨记快餐店</w:t>
      </w:r>
      <w:r>
        <w:rPr>
          <w:rFonts w:hint="eastAsia" w:ascii="仿宋" w:hAnsi="仿宋" w:eastAsia="仿宋" w:cs="仿宋"/>
          <w:color w:val="auto"/>
          <w:sz w:val="32"/>
          <w:szCs w:val="32"/>
        </w:rPr>
        <w:t>进行检查，发现其</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z w:val="32"/>
          <w:szCs w:val="32"/>
        </w:rPr>
        <w:t>，责令其</w:t>
      </w:r>
      <w:r>
        <w:rPr>
          <w:rFonts w:hint="eastAsia" w:ascii="仿宋" w:hAnsi="仿宋" w:eastAsia="仿宋" w:cs="仿宋"/>
          <w:color w:val="auto"/>
          <w:sz w:val="32"/>
          <w:szCs w:val="32"/>
          <w:lang w:eastAsia="zh-CN"/>
        </w:rPr>
        <w:t>立即</w:t>
      </w:r>
      <w:r>
        <w:rPr>
          <w:rFonts w:hint="eastAsia" w:ascii="仿宋" w:hAnsi="仿宋" w:eastAsia="仿宋" w:cs="仿宋"/>
          <w:color w:val="auto"/>
          <w:sz w:val="32"/>
          <w:szCs w:val="32"/>
        </w:rPr>
        <w:t>改正。截至</w:t>
      </w:r>
      <w:r>
        <w:rPr>
          <w:rFonts w:hint="eastAsia" w:ascii="仿宋" w:hAnsi="仿宋" w:eastAsia="仿宋" w:cs="仿宋"/>
          <w:color w:val="auto"/>
          <w:sz w:val="32"/>
          <w:szCs w:val="32"/>
          <w:lang w:eastAsia="zh-CN"/>
        </w:rPr>
        <w:t>2024年5月15日</w:t>
      </w:r>
      <w:r>
        <w:rPr>
          <w:rFonts w:hint="eastAsia" w:ascii="仿宋" w:hAnsi="仿宋" w:eastAsia="仿宋" w:cs="仿宋"/>
          <w:color w:val="auto"/>
          <w:sz w:val="32"/>
          <w:szCs w:val="32"/>
        </w:rPr>
        <w:t>，当事人仍</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pacing w:val="-12"/>
          <w:sz w:val="32"/>
          <w:szCs w:val="32"/>
        </w:rPr>
        <w:t>从事</w:t>
      </w:r>
      <w:r>
        <w:rPr>
          <w:rFonts w:hint="eastAsia" w:ascii="仿宋" w:hAnsi="仿宋" w:eastAsia="仿宋" w:cs="仿宋"/>
          <w:color w:val="auto"/>
          <w:sz w:val="32"/>
          <w:szCs w:val="32"/>
        </w:rPr>
        <w:t>经营活动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本局</w:t>
      </w:r>
      <w:r>
        <w:rPr>
          <w:rFonts w:hint="eastAsia" w:ascii="仿宋" w:hAnsi="仿宋" w:eastAsia="仿宋" w:cs="仿宋"/>
          <w:color w:val="auto"/>
          <w:sz w:val="32"/>
          <w:szCs w:val="32"/>
          <w:lang w:eastAsia="zh-CN"/>
        </w:rPr>
        <w:t>2024年5月15日</w:t>
      </w:r>
      <w:r>
        <w:rPr>
          <w:rFonts w:hint="eastAsia" w:ascii="仿宋" w:hAnsi="仿宋" w:eastAsia="仿宋" w:cs="仿宋"/>
          <w:color w:val="auto"/>
          <w:sz w:val="32"/>
          <w:szCs w:val="32"/>
          <w:lang w:eastAsia="zh-CN"/>
        </w:rPr>
        <w:t>予以立案调查。</w:t>
      </w:r>
      <w:r>
        <w:rPr>
          <w:rFonts w:hint="eastAsia" w:ascii="仿宋" w:hAnsi="仿宋" w:eastAsia="仿宋" w:cs="仿宋"/>
          <w:color w:val="auto"/>
          <w:sz w:val="32"/>
          <w:szCs w:val="32"/>
        </w:rPr>
        <w:t>执法人员对当事人进行询问调查，确</w:t>
      </w:r>
      <w:r>
        <w:rPr>
          <w:rFonts w:hint="eastAsia" w:ascii="仿宋" w:hAnsi="仿宋" w:eastAsia="仿宋" w:cs="仿宋"/>
          <w:color w:val="auto"/>
          <w:sz w:val="32"/>
          <w:szCs w:val="32"/>
        </w:rPr>
        <w:t>定其违法事实。</w:t>
      </w:r>
    </w:p>
    <w:p w14:paraId="4C88786B">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napToGrid w:val="0"/>
          <w:color w:val="auto"/>
          <w:sz w:val="32"/>
          <w:szCs w:val="32"/>
        </w:rPr>
        <w:t>经查</w:t>
      </w:r>
      <w:r>
        <w:rPr>
          <w:rFonts w:hint="eastAsia" w:ascii="仿宋" w:hAnsi="仿宋" w:eastAsia="仿宋" w:cs="仿宋"/>
          <w:color w:val="auto"/>
          <w:sz w:val="32"/>
          <w:szCs w:val="32"/>
        </w:rPr>
        <w:t>，</w:t>
      </w:r>
      <w:r>
        <w:rPr>
          <w:rFonts w:hint="eastAsia" w:ascii="仿宋" w:hAnsi="仿宋" w:eastAsia="仿宋" w:cs="仿宋"/>
          <w:color w:val="auto"/>
          <w:sz w:val="32"/>
          <w:szCs w:val="32"/>
        </w:rPr>
        <w:t>当事人</w:t>
      </w:r>
      <w:r>
        <w:rPr>
          <w:rFonts w:hint="eastAsia" w:ascii="仿宋" w:hAnsi="仿宋" w:eastAsia="仿宋" w:cs="仿宋"/>
          <w:color w:val="auto"/>
          <w:sz w:val="32"/>
          <w:szCs w:val="32"/>
          <w:lang w:eastAsia="zh-CN"/>
        </w:rPr>
        <w:t>2024年5月15日</w:t>
      </w:r>
      <w:r>
        <w:rPr>
          <w:rFonts w:hint="eastAsia" w:ascii="仿宋" w:hAnsi="仿宋" w:eastAsia="仿宋" w:cs="仿宋"/>
          <w:color w:val="auto"/>
          <w:sz w:val="32"/>
          <w:szCs w:val="32"/>
        </w:rPr>
        <w:t>在经营中只悬挂了营业执照和</w:t>
      </w:r>
      <w:r>
        <w:rPr>
          <w:rFonts w:hint="eastAsia" w:ascii="仿宋" w:hAnsi="仿宋" w:eastAsia="仿宋" w:cs="仿宋"/>
          <w:color w:val="auto"/>
          <w:sz w:val="32"/>
          <w:szCs w:val="32"/>
          <w:lang w:val="zh-TW"/>
        </w:rPr>
        <w:t>食品小作坊小餐饮登记证</w:t>
      </w:r>
      <w:r>
        <w:rPr>
          <w:rFonts w:hint="eastAsia" w:ascii="仿宋" w:hAnsi="仿宋" w:eastAsia="仿宋" w:cs="仿宋"/>
          <w:color w:val="auto"/>
          <w:sz w:val="32"/>
          <w:szCs w:val="32"/>
        </w:rPr>
        <w:t>，</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z w:val="32"/>
          <w:szCs w:val="32"/>
        </w:rPr>
        <w:t>，经执法人员责令改正后仍未按照规定</w:t>
      </w:r>
      <w:r>
        <w:rPr>
          <w:rFonts w:hint="eastAsia" w:ascii="仿宋" w:hAnsi="仿宋" w:eastAsia="仿宋" w:cs="仿宋"/>
          <w:color w:val="auto"/>
          <w:spacing w:val="-12"/>
          <w:sz w:val="32"/>
          <w:szCs w:val="32"/>
        </w:rPr>
        <w:t>公示从业人员健康证明</w:t>
      </w:r>
      <w:r>
        <w:rPr>
          <w:rFonts w:hint="eastAsia" w:ascii="仿宋" w:hAnsi="仿宋" w:eastAsia="仿宋" w:cs="仿宋"/>
          <w:color w:val="auto"/>
          <w:spacing w:val="-12"/>
          <w:sz w:val="32"/>
          <w:szCs w:val="32"/>
          <w:lang w:eastAsia="zh-CN"/>
        </w:rPr>
        <w:t>从事经营活动</w:t>
      </w:r>
      <w:r>
        <w:rPr>
          <w:rFonts w:hint="eastAsia" w:ascii="仿宋" w:hAnsi="仿宋" w:eastAsia="仿宋" w:cs="仿宋"/>
          <w:color w:val="auto"/>
          <w:sz w:val="32"/>
          <w:szCs w:val="32"/>
        </w:rPr>
        <w:t>。</w:t>
      </w:r>
    </w:p>
    <w:p w14:paraId="3213B407">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本案未采取行政强制措施</w:t>
      </w:r>
    </w:p>
    <w:p w14:paraId="528DB1C6">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上述事实，主要有以下证据证明：</w:t>
      </w:r>
    </w:p>
    <w:p w14:paraId="25C2E88E">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2024年5月15日</w:t>
      </w:r>
      <w:r>
        <w:rPr>
          <w:rFonts w:hint="eastAsia" w:ascii="仿宋" w:hAnsi="仿宋" w:eastAsia="仿宋" w:cs="仿宋"/>
          <w:color w:val="auto"/>
          <w:sz w:val="32"/>
          <w:szCs w:val="32"/>
        </w:rPr>
        <w:t>，执法人员对当事人检查时制作的现场笔录一份，证明当事人的违法事实；</w:t>
      </w:r>
    </w:p>
    <w:p w14:paraId="00F63FFE">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2024年5月15日</w:t>
      </w:r>
      <w:r>
        <w:rPr>
          <w:rFonts w:hint="eastAsia" w:ascii="仿宋" w:hAnsi="仿宋" w:eastAsia="仿宋" w:cs="仿宋"/>
          <w:color w:val="auto"/>
          <w:sz w:val="32"/>
          <w:szCs w:val="32"/>
        </w:rPr>
        <w:t>，执法人员对当事人检查时拍摄的</w:t>
      </w:r>
      <w:r>
        <w:rPr>
          <w:rFonts w:hint="eastAsia" w:ascii="仿宋" w:hAnsi="仿宋" w:eastAsia="仿宋" w:cs="仿宋"/>
          <w:color w:val="auto"/>
          <w:sz w:val="32"/>
          <w:szCs w:val="32"/>
          <w:lang w:eastAsia="zh-CN"/>
        </w:rPr>
        <w:t>视频</w:t>
      </w:r>
      <w:r>
        <w:rPr>
          <w:rFonts w:hint="eastAsia" w:ascii="仿宋" w:hAnsi="仿宋" w:eastAsia="仿宋" w:cs="仿宋"/>
          <w:color w:val="auto"/>
          <w:sz w:val="32"/>
          <w:szCs w:val="32"/>
        </w:rPr>
        <w:t>，证明当事人的违法事实；</w:t>
      </w:r>
    </w:p>
    <w:p w14:paraId="13DE9787">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2024年5月15日</w:t>
      </w:r>
      <w:r>
        <w:rPr>
          <w:rFonts w:hint="eastAsia" w:ascii="仿宋" w:hAnsi="仿宋" w:eastAsia="仿宋" w:cs="仿宋"/>
          <w:color w:val="auto"/>
          <w:sz w:val="32"/>
          <w:szCs w:val="32"/>
        </w:rPr>
        <w:t>，执法人员询问当事人时，对当事人制作的询问笔录一份，证明当事人的违法事实；</w:t>
      </w:r>
    </w:p>
    <w:p w14:paraId="2270BF88">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，执法人员制作的责令改正通知书和送达回证各一份，证明当事人收到责令改正通知书的事实；</w:t>
      </w:r>
    </w:p>
    <w:p w14:paraId="5B102A03">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2024年5月15日</w:t>
      </w:r>
      <w:r>
        <w:rPr>
          <w:rFonts w:hint="eastAsia" w:ascii="仿宋" w:hAnsi="仿宋" w:eastAsia="仿宋" w:cs="仿宋"/>
          <w:color w:val="auto"/>
          <w:sz w:val="32"/>
          <w:szCs w:val="32"/>
        </w:rPr>
        <w:t>，执法人员调取的当事人居民身份证复印件一份，证明当事人的身份；</w:t>
      </w:r>
    </w:p>
    <w:p w14:paraId="06514F3B">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2024年5月15日</w:t>
      </w:r>
      <w:r>
        <w:rPr>
          <w:rFonts w:hint="eastAsia" w:ascii="仿宋" w:hAnsi="仿宋" w:eastAsia="仿宋" w:cs="仿宋"/>
          <w:color w:val="auto"/>
          <w:sz w:val="32"/>
          <w:szCs w:val="32"/>
        </w:rPr>
        <w:t>，执法人员调取的当事人营业执照复印件一</w:t>
      </w:r>
      <w:r>
        <w:rPr>
          <w:rFonts w:hint="eastAsia" w:ascii="仿宋" w:hAnsi="仿宋" w:eastAsia="仿宋" w:cs="仿宋"/>
          <w:color w:val="auto"/>
          <w:sz w:val="32"/>
          <w:szCs w:val="32"/>
          <w:lang w:eastAsia="zh-CN"/>
        </w:rPr>
        <w:t>份</w:t>
      </w:r>
      <w:r>
        <w:rPr>
          <w:rFonts w:hint="eastAsia" w:ascii="仿宋" w:hAnsi="仿宋" w:eastAsia="仿宋" w:cs="仿宋"/>
          <w:color w:val="auto"/>
          <w:sz w:val="32"/>
          <w:szCs w:val="32"/>
        </w:rPr>
        <w:t>，证明当事人的市场主体资格；</w:t>
      </w:r>
    </w:p>
    <w:p w14:paraId="3B8F156D">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lang w:eastAsia="zh-CN"/>
        </w:rPr>
        <w:t>2024年5月15日</w:t>
      </w:r>
      <w:r>
        <w:rPr>
          <w:rFonts w:hint="eastAsia" w:ascii="仿宋" w:hAnsi="仿宋" w:eastAsia="仿宋" w:cs="仿宋"/>
          <w:color w:val="auto"/>
          <w:sz w:val="32"/>
          <w:szCs w:val="32"/>
        </w:rPr>
        <w:t>，执法人员调取的当事人从业人员健康证明复印件一份，证明其从业人员的从业资格；</w:t>
      </w:r>
    </w:p>
    <w:p w14:paraId="6446BE19">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w:t>
      </w:r>
      <w:r>
        <w:rPr>
          <w:rFonts w:hint="eastAsia" w:ascii="仿宋" w:hAnsi="仿宋" w:eastAsia="仿宋" w:cs="仿宋"/>
          <w:color w:val="auto"/>
          <w:sz w:val="32"/>
          <w:szCs w:val="32"/>
          <w:lang w:eastAsia="zh-CN"/>
        </w:rPr>
        <w:t>2024年5月15日</w:t>
      </w:r>
      <w:r>
        <w:rPr>
          <w:rFonts w:hint="eastAsia" w:ascii="仿宋" w:hAnsi="仿宋" w:eastAsia="仿宋" w:cs="仿宋"/>
          <w:color w:val="auto"/>
          <w:sz w:val="32"/>
          <w:szCs w:val="32"/>
        </w:rPr>
        <w:t>，执法人员调取的当事人食品小作坊小餐饮登记证复印件一份，证明当事人的经营资格。</w:t>
      </w:r>
    </w:p>
    <w:p w14:paraId="19FA7771">
      <w:pPr>
        <w:keepNext w:val="0"/>
        <w:keepLines w:val="0"/>
        <w:pageBreakBefore w:val="0"/>
        <w:widowControl/>
        <w:kinsoku/>
        <w:wordWrap/>
        <w:overflowPunct/>
        <w:topLinePunct w:val="0"/>
        <w:autoSpaceDE/>
        <w:autoSpaceDN/>
        <w:bidi w:val="0"/>
        <w:adjustRightInd w:val="0"/>
        <w:snapToGrid w:val="0"/>
        <w:spacing w:after="0" w:line="440" w:lineRule="exact"/>
        <w:ind w:firstLine="604" w:firstLineChars="200"/>
        <w:contextualSpacing/>
        <w:textAlignment w:val="auto"/>
        <w:rPr>
          <w:rFonts w:hint="eastAsia" w:ascii="仿宋" w:hAnsi="仿宋" w:eastAsia="仿宋" w:cs="仿宋"/>
          <w:color w:val="auto"/>
          <w:sz w:val="32"/>
          <w:szCs w:val="32"/>
        </w:rPr>
      </w:pPr>
      <w:r>
        <w:rPr>
          <w:rFonts w:hint="eastAsia" w:ascii="仿宋" w:hAnsi="仿宋" w:eastAsia="仿宋" w:cs="仿宋"/>
          <w:snapToGrid w:val="0"/>
          <w:color w:val="auto"/>
          <w:spacing w:val="-9"/>
          <w:sz w:val="32"/>
          <w:szCs w:val="32"/>
        </w:rPr>
        <w:t>202</w:t>
      </w:r>
      <w:r>
        <w:rPr>
          <w:rFonts w:hint="eastAsia" w:ascii="仿宋" w:hAnsi="仿宋" w:eastAsia="仿宋" w:cs="仿宋"/>
          <w:snapToGrid w:val="0"/>
          <w:color w:val="auto"/>
          <w:spacing w:val="-9"/>
          <w:sz w:val="32"/>
          <w:szCs w:val="32"/>
          <w:lang w:val="en-US" w:eastAsia="zh-CN"/>
        </w:rPr>
        <w:t>4</w:t>
      </w:r>
      <w:r>
        <w:rPr>
          <w:rFonts w:hint="eastAsia" w:ascii="仿宋" w:hAnsi="仿宋" w:eastAsia="仿宋" w:cs="仿宋"/>
          <w:snapToGrid w:val="0"/>
          <w:color w:val="auto"/>
          <w:spacing w:val="-9"/>
          <w:sz w:val="32"/>
          <w:szCs w:val="32"/>
        </w:rPr>
        <w:t xml:space="preserve">年 </w:t>
      </w:r>
      <w:r>
        <w:rPr>
          <w:rFonts w:hint="eastAsia" w:ascii="仿宋" w:hAnsi="仿宋" w:eastAsia="仿宋" w:cs="仿宋"/>
          <w:snapToGrid w:val="0"/>
          <w:color w:val="auto"/>
          <w:spacing w:val="-9"/>
          <w:sz w:val="32"/>
          <w:szCs w:val="32"/>
          <w:lang w:val="en-US" w:eastAsia="zh-CN"/>
        </w:rPr>
        <w:t>7</w:t>
      </w:r>
      <w:r>
        <w:rPr>
          <w:rFonts w:hint="eastAsia" w:ascii="仿宋" w:hAnsi="仿宋" w:eastAsia="仿宋" w:cs="仿宋"/>
          <w:snapToGrid w:val="0"/>
          <w:color w:val="auto"/>
          <w:spacing w:val="-9"/>
          <w:sz w:val="32"/>
          <w:szCs w:val="32"/>
        </w:rPr>
        <w:t>月</w:t>
      </w:r>
      <w:r>
        <w:rPr>
          <w:rFonts w:hint="eastAsia" w:ascii="仿宋" w:hAnsi="仿宋" w:eastAsia="仿宋" w:cs="仿宋"/>
          <w:snapToGrid w:val="0"/>
          <w:color w:val="auto"/>
          <w:spacing w:val="-9"/>
          <w:sz w:val="32"/>
          <w:szCs w:val="32"/>
          <w:lang w:val="en-US" w:eastAsia="zh-CN"/>
        </w:rPr>
        <w:t>15</w:t>
      </w:r>
      <w:r>
        <w:rPr>
          <w:rFonts w:hint="eastAsia" w:ascii="仿宋" w:hAnsi="仿宋" w:eastAsia="仿宋" w:cs="仿宋"/>
          <w:snapToGrid w:val="0"/>
          <w:color w:val="auto"/>
          <w:spacing w:val="-9"/>
          <w:sz w:val="32"/>
          <w:szCs w:val="32"/>
        </w:rPr>
        <w:t>日，本</w:t>
      </w:r>
      <w:r>
        <w:rPr>
          <w:rFonts w:hint="eastAsia" w:ascii="仿宋" w:hAnsi="仿宋" w:eastAsia="仿宋" w:cs="仿宋"/>
          <w:snapToGrid w:val="0"/>
          <w:color w:val="auto"/>
          <w:spacing w:val="-9"/>
          <w:sz w:val="32"/>
          <w:szCs w:val="32"/>
        </w:rPr>
        <w:t>局向当事人送达行政处罚告知书，告知其拟作出行政处罚的事实、理由、依据及处罚内容，当事人在法定期限内未提出陈述、申辩。</w:t>
      </w:r>
    </w:p>
    <w:p w14:paraId="09C5E130">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本局认为，当事人在生产经营场所显著位置</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z w:val="32"/>
          <w:szCs w:val="32"/>
          <w:lang w:val="zh-TW"/>
        </w:rPr>
        <w:t>的</w:t>
      </w:r>
      <w:r>
        <w:rPr>
          <w:rFonts w:hint="eastAsia" w:ascii="仿宋" w:hAnsi="仿宋" w:eastAsia="仿宋" w:cs="仿宋"/>
          <w:color w:val="auto"/>
          <w:sz w:val="32"/>
          <w:szCs w:val="32"/>
        </w:rPr>
        <w:t>行为，违反了《河北省食品小作坊小餐饮小摊点管理条例》第十四条“小作坊、小餐饮、小摊点应当在生产经营场所显著位置，公示登记证或者备案卡、从业人员健康证明。小作坊、小餐饮还应当公示食品添加剂使用情况等相关信息，接受社会监督。”之规定。其未按照秦</w:t>
      </w:r>
      <w:r>
        <w:rPr>
          <w:rFonts w:hint="eastAsia" w:ascii="仿宋" w:hAnsi="仿宋" w:eastAsia="仿宋" w:cs="仿宋"/>
          <w:color w:val="auto"/>
          <w:sz w:val="32"/>
          <w:szCs w:val="32"/>
        </w:rPr>
        <w:t>皇岛市市场监督管理局责</w:t>
      </w:r>
      <w:r>
        <w:rPr>
          <w:rFonts w:hint="eastAsia" w:ascii="仿宋" w:hAnsi="仿宋" w:eastAsia="仿宋" w:cs="仿宋"/>
          <w:color w:val="auto"/>
          <w:sz w:val="32"/>
          <w:szCs w:val="32"/>
        </w:rPr>
        <w:t>令改正通知书秦市监责改（202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）200-01-0</w:t>
      </w:r>
      <w:r>
        <w:rPr>
          <w:rFonts w:hint="eastAsia" w:ascii="仿宋" w:hAnsi="仿宋" w:eastAsia="仿宋" w:cs="仿宋"/>
          <w:color w:val="auto"/>
          <w:sz w:val="32"/>
          <w:szCs w:val="32"/>
          <w:lang w:val="en-US" w:eastAsia="zh-CN"/>
        </w:rPr>
        <w:t>05号</w:t>
      </w:r>
      <w:r>
        <w:rPr>
          <w:rFonts w:hint="eastAsia" w:ascii="仿宋" w:hAnsi="仿宋" w:eastAsia="仿宋" w:cs="仿宋"/>
          <w:color w:val="auto"/>
          <w:sz w:val="32"/>
          <w:szCs w:val="32"/>
        </w:rPr>
        <w:t>要求，改</w:t>
      </w:r>
      <w:r>
        <w:rPr>
          <w:rFonts w:hint="eastAsia" w:ascii="仿宋" w:hAnsi="仿宋" w:eastAsia="仿宋" w:cs="仿宋"/>
          <w:color w:val="auto"/>
          <w:sz w:val="32"/>
          <w:szCs w:val="32"/>
        </w:rPr>
        <w:t>正“</w:t>
      </w:r>
      <w:r>
        <w:rPr>
          <w:rFonts w:hint="eastAsia" w:ascii="仿宋" w:hAnsi="仿宋" w:eastAsia="仿宋" w:cs="仿宋"/>
          <w:color w:val="auto"/>
          <w:sz w:val="32"/>
          <w:szCs w:val="32"/>
        </w:rPr>
        <w:t>在</w:t>
      </w:r>
      <w:r>
        <w:rPr>
          <w:rFonts w:hint="eastAsia" w:ascii="仿宋" w:hAnsi="仿宋" w:eastAsia="仿宋" w:cs="仿宋"/>
          <w:color w:val="auto"/>
          <w:spacing w:val="-12"/>
          <w:sz w:val="32"/>
          <w:szCs w:val="32"/>
        </w:rPr>
        <w:t>生产经营场所显著位置</w:t>
      </w:r>
      <w:r>
        <w:rPr>
          <w:rFonts w:hint="eastAsia" w:ascii="仿宋" w:hAnsi="仿宋" w:eastAsia="仿宋" w:cs="仿宋"/>
          <w:color w:val="auto"/>
          <w:spacing w:val="-12"/>
          <w:sz w:val="32"/>
          <w:szCs w:val="32"/>
        </w:rPr>
        <w:t>公示从业人员健康证明</w:t>
      </w:r>
      <w:r>
        <w:rPr>
          <w:rFonts w:hint="eastAsia" w:ascii="仿宋" w:hAnsi="仿宋" w:eastAsia="仿宋" w:cs="仿宋"/>
          <w:color w:val="auto"/>
          <w:sz w:val="32"/>
          <w:szCs w:val="32"/>
        </w:rPr>
        <w:t>”的问题，</w:t>
      </w:r>
      <w:r>
        <w:rPr>
          <w:rFonts w:hint="eastAsia" w:ascii="仿宋" w:hAnsi="仿宋" w:eastAsia="仿宋" w:cs="仿宋"/>
          <w:color w:val="auto"/>
          <w:sz w:val="32"/>
          <w:szCs w:val="32"/>
        </w:rPr>
        <w:t>违反了</w:t>
      </w:r>
      <w:r>
        <w:rPr>
          <w:rFonts w:hint="eastAsia" w:ascii="仿宋" w:hAnsi="仿宋" w:eastAsia="仿宋" w:cs="仿宋"/>
          <w:color w:val="auto"/>
          <w:sz w:val="32"/>
          <w:szCs w:val="32"/>
        </w:rPr>
        <w:t>《河北省食品小作坊小餐饮小摊点管理条例》第五十二条的规定，应按《河北省食品小作坊小餐饮小摊点管理条例》第五十二条规定“违反本条例规定，有下列行为之一的，由县(市、区)人民政府食品药品监督管理等有关部门责令改正;拒不改正的，对小作坊、小餐饮处三百元罚款，对小摊点处一百元罚款： (一)没有健康证明的;(二)未悬挂登记证(备案卡)或者健康证明的;(三)使用未清洗、消毒的餐具、饮具的。”标准予以处罚。属在生产经营场所显著位置</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pacing w:val="-12"/>
          <w:sz w:val="32"/>
          <w:szCs w:val="32"/>
        </w:rPr>
        <w:t>经责令改正后拒不改正的违法行为。</w:t>
      </w:r>
      <w:r>
        <w:rPr>
          <w:rFonts w:hint="eastAsia" w:ascii="仿宋" w:hAnsi="仿宋" w:eastAsia="仿宋" w:cs="仿宋"/>
          <w:color w:val="auto"/>
          <w:spacing w:val="-12"/>
          <w:sz w:val="32"/>
          <w:szCs w:val="32"/>
          <w:u w:val="none"/>
          <w:lang w:eastAsia="zh-CN"/>
        </w:rPr>
        <w:br w:type="textWrapping"/>
      </w:r>
      <w:r>
        <w:rPr>
          <w:rFonts w:hint="eastAsia" w:ascii="仿宋" w:hAnsi="仿宋" w:eastAsia="仿宋" w:cs="仿宋"/>
          <w:color w:val="auto"/>
          <w:spacing w:val="-12"/>
          <w:sz w:val="32"/>
          <w:szCs w:val="32"/>
          <w:u w:val="none"/>
          <w:lang w:val="en-US" w:eastAsia="zh-CN"/>
        </w:rPr>
        <w:t xml:space="preserve">     </w:t>
      </w:r>
      <w:r>
        <w:rPr>
          <w:rFonts w:hint="eastAsia" w:ascii="仿宋" w:hAnsi="仿宋" w:eastAsia="仿宋" w:cs="仿宋"/>
          <w:color w:val="auto"/>
          <w:sz w:val="32"/>
          <w:szCs w:val="32"/>
        </w:rPr>
        <w:t>综上所述，</w:t>
      </w:r>
      <w:r>
        <w:rPr>
          <w:rFonts w:hint="eastAsia" w:ascii="仿宋" w:hAnsi="仿宋" w:eastAsia="仿宋" w:cs="仿宋"/>
          <w:color w:val="auto"/>
          <w:spacing w:val="-12"/>
          <w:sz w:val="32"/>
          <w:szCs w:val="32"/>
          <w:u w:val="none"/>
          <w:lang w:eastAsia="zh-CN"/>
        </w:rPr>
        <w:t>依据：</w:t>
      </w:r>
      <w:r>
        <w:rPr>
          <w:rFonts w:hint="eastAsia" w:ascii="仿宋" w:hAnsi="仿宋" w:eastAsia="仿宋" w:cs="仿宋"/>
          <w:color w:val="auto"/>
          <w:sz w:val="32"/>
          <w:szCs w:val="32"/>
        </w:rPr>
        <w:t>《河北省食品小作坊小餐饮小摊点管理条例》第五十二条第二</w:t>
      </w:r>
      <w:r>
        <w:rPr>
          <w:rFonts w:hint="eastAsia" w:ascii="仿宋" w:hAnsi="仿宋" w:eastAsia="仿宋" w:cs="仿宋"/>
          <w:color w:val="auto"/>
          <w:sz w:val="32"/>
          <w:szCs w:val="32"/>
        </w:rPr>
        <w:t>项</w:t>
      </w:r>
      <w:r>
        <w:rPr>
          <w:rFonts w:hint="eastAsia" w:ascii="仿宋" w:hAnsi="仿宋" w:eastAsia="仿宋" w:cs="仿宋"/>
          <w:color w:val="auto"/>
          <w:sz w:val="32"/>
          <w:szCs w:val="32"/>
        </w:rPr>
        <w:t>之规定，建议责令当事人改正上述违法行为，并处罚如下：</w:t>
      </w:r>
    </w:p>
    <w:p w14:paraId="580A1E39">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罚款</w:t>
      </w:r>
      <w:r>
        <w:rPr>
          <w:rFonts w:hint="eastAsia" w:ascii="仿宋" w:hAnsi="仿宋" w:eastAsia="仿宋" w:cs="仿宋"/>
          <w:color w:val="auto"/>
          <w:sz w:val="32"/>
          <w:szCs w:val="32"/>
        </w:rPr>
        <w:t>300</w:t>
      </w:r>
      <w:r>
        <w:rPr>
          <w:rFonts w:hint="eastAsia" w:ascii="仿宋" w:hAnsi="仿宋" w:eastAsia="仿宋" w:cs="仿宋"/>
          <w:color w:val="auto"/>
          <w:sz w:val="32"/>
          <w:szCs w:val="32"/>
        </w:rPr>
        <w:t xml:space="preserve">元。     </w:t>
      </w:r>
    </w:p>
    <w:p w14:paraId="28897A58">
      <w:pPr>
        <w:shd w:val="clear" w:color="auto" w:fill="FFFFFF"/>
        <w:kinsoku/>
        <w:autoSpaceDE/>
        <w:autoSpaceDN/>
        <w:adjustRightInd/>
        <w:snapToGrid/>
        <w:spacing w:line="500" w:lineRule="exact"/>
        <w:ind w:firstLine="640" w:firstLineChars="20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 xml:space="preserve">当事人应当自收到本行政处罚决定书之日起十五日内，将罚没款缴至秦皇岛银行（账户：秦皇岛市财政局）。到期不缴纳罚款的，依据《中华人民共和国行政处罚法》第七十二条的规定，本局将每日按罚款数额的百分之三加处罚款，并依法申请人民法院强制执行。 </w:t>
      </w:r>
    </w:p>
    <w:p w14:paraId="54C979B7">
      <w:pPr>
        <w:shd w:val="clear" w:color="auto" w:fill="FFFFFF"/>
        <w:kinsoku/>
        <w:autoSpaceDE/>
        <w:autoSpaceDN/>
        <w:adjustRightInd/>
        <w:snapToGrid/>
        <w:spacing w:line="500" w:lineRule="exact"/>
        <w:ind w:firstLine="640" w:firstLineChars="20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如你（单位）不服本行政处罚决定，可以在收到本行政处罚决定书之日起六十日内向秦皇岛市人民政府申请行政复议；也可以在六个月内依法向秦皇岛市海港区人民法院提起行政诉讼</w:t>
      </w:r>
      <w:r>
        <w:rPr>
          <w:rFonts w:hint="eastAsia" w:ascii="仿宋" w:hAnsi="仿宋" w:eastAsia="仿宋" w:cs="仿宋"/>
          <w:snapToGrid/>
          <w:color w:val="auto"/>
          <w:sz w:val="32"/>
          <w:szCs w:val="32"/>
          <w:lang w:eastAsia="zh-CN"/>
        </w:rPr>
        <w:t>。</w:t>
      </w:r>
      <w:r>
        <w:rPr>
          <w:rFonts w:hint="eastAsia" w:ascii="仿宋" w:hAnsi="仿宋" w:eastAsia="仿宋" w:cs="仿宋"/>
          <w:snapToGrid/>
          <w:color w:val="auto"/>
          <w:sz w:val="32"/>
          <w:szCs w:val="32"/>
        </w:rPr>
        <w:t xml:space="preserve">          </w:t>
      </w:r>
    </w:p>
    <w:p w14:paraId="6580D82C">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1B70373F">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19AB789F">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51112611">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33A23ADD">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4FCC45CD">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04D9D204">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283A1E52">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17D62750">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58531F95">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7D1CDF1A">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秦皇岛市市场监督管理局</w:t>
      </w:r>
    </w:p>
    <w:p w14:paraId="12819A07">
      <w:pPr>
        <w:widowControl w:val="0"/>
        <w:kinsoku/>
        <w:autoSpaceDE/>
        <w:autoSpaceDN/>
        <w:adjustRightInd/>
        <w:snapToGrid/>
        <w:spacing w:line="500" w:lineRule="exact"/>
        <w:ind w:right="640" w:firstLine="4640" w:firstLineChars="1450"/>
        <w:jc w:val="both"/>
        <w:textAlignment w:val="auto"/>
        <w:rPr>
          <w:rFonts w:ascii="仿宋" w:hAnsi="仿宋" w:eastAsia="仿宋" w:cs="Times New Roman"/>
          <w:snapToGrid/>
          <w:color w:val="auto"/>
          <w:kern w:val="2"/>
          <w:sz w:val="32"/>
          <w:szCs w:val="32"/>
        </w:rPr>
      </w:pPr>
      <w:r>
        <w:rPr>
          <w:rFonts w:hint="eastAsia" w:ascii="仿宋" w:hAnsi="仿宋" w:eastAsia="仿宋" w:cs="仿宋"/>
          <w:snapToGrid/>
          <w:color w:val="auto"/>
          <w:kern w:val="2"/>
          <w:sz w:val="32"/>
          <w:szCs w:val="32"/>
        </w:rPr>
        <w:t>202</w:t>
      </w:r>
      <w:r>
        <w:rPr>
          <w:rFonts w:hint="eastAsia" w:ascii="仿宋" w:hAnsi="仿宋" w:eastAsia="仿宋" w:cs="仿宋"/>
          <w:snapToGrid/>
          <w:color w:val="auto"/>
          <w:kern w:val="2"/>
          <w:sz w:val="32"/>
          <w:szCs w:val="32"/>
          <w:lang w:val="en-US" w:eastAsia="zh-CN"/>
        </w:rPr>
        <w:t>4</w:t>
      </w:r>
      <w:r>
        <w:rPr>
          <w:rFonts w:hint="eastAsia" w:ascii="仿宋" w:hAnsi="仿宋" w:eastAsia="仿宋" w:cs="仿宋"/>
          <w:snapToGrid/>
          <w:color w:val="auto"/>
          <w:kern w:val="2"/>
          <w:sz w:val="32"/>
          <w:szCs w:val="32"/>
        </w:rPr>
        <w:t>年</w:t>
      </w:r>
      <w:r>
        <w:rPr>
          <w:rFonts w:hint="eastAsia" w:ascii="仿宋" w:hAnsi="仿宋" w:eastAsia="仿宋" w:cs="仿宋"/>
          <w:snapToGrid/>
          <w:color w:val="auto"/>
          <w:kern w:val="2"/>
          <w:sz w:val="32"/>
          <w:szCs w:val="32"/>
          <w:lang w:val="en-US" w:eastAsia="zh-CN"/>
        </w:rPr>
        <w:t>7</w:t>
      </w:r>
      <w:r>
        <w:rPr>
          <w:rFonts w:hint="eastAsia" w:ascii="仿宋" w:hAnsi="仿宋" w:eastAsia="仿宋" w:cs="仿宋"/>
          <w:snapToGrid/>
          <w:color w:val="auto"/>
          <w:kern w:val="2"/>
          <w:sz w:val="32"/>
          <w:szCs w:val="32"/>
        </w:rPr>
        <w:t>月</w:t>
      </w:r>
      <w:r>
        <w:rPr>
          <w:rFonts w:hint="eastAsia" w:ascii="仿宋" w:hAnsi="仿宋" w:eastAsia="仿宋" w:cs="仿宋"/>
          <w:snapToGrid/>
          <w:color w:val="auto"/>
          <w:kern w:val="2"/>
          <w:sz w:val="32"/>
          <w:szCs w:val="32"/>
          <w:lang w:val="en-US" w:eastAsia="zh-CN"/>
        </w:rPr>
        <w:t>24</w:t>
      </w:r>
      <w:r>
        <w:rPr>
          <w:rFonts w:hint="eastAsia" w:ascii="仿宋" w:hAnsi="仿宋" w:eastAsia="仿宋" w:cs="仿宋"/>
          <w:snapToGrid/>
          <w:color w:val="auto"/>
          <w:kern w:val="2"/>
          <w:sz w:val="32"/>
          <w:szCs w:val="32"/>
        </w:rPr>
        <w:t>日</w:t>
      </w:r>
    </w:p>
    <w:p w14:paraId="30659275">
      <w:pPr>
        <w:widowControl w:val="0"/>
        <w:kinsoku/>
        <w:autoSpaceDE/>
        <w:autoSpaceDN/>
        <w:adjustRightInd/>
        <w:snapToGrid/>
        <w:spacing w:line="500" w:lineRule="exact"/>
        <w:jc w:val="both"/>
        <w:textAlignment w:val="auto"/>
        <w:rPr>
          <w:rFonts w:hint="eastAsia" w:ascii="仿宋" w:hAnsi="仿宋" w:eastAsia="仿宋" w:cs="Times New Roman"/>
          <w:snapToGrid/>
          <w:color w:val="auto"/>
          <w:kern w:val="2"/>
          <w:sz w:val="32"/>
          <w:szCs w:val="32"/>
          <w:lang w:eastAsia="zh-CN"/>
        </w:rPr>
      </w:pPr>
    </w:p>
    <w:p w14:paraId="39AAE721">
      <w:pPr>
        <w:widowControl w:val="0"/>
        <w:kinsoku/>
        <w:autoSpaceDE/>
        <w:autoSpaceDN/>
        <w:adjustRightInd/>
        <w:snapToGrid/>
        <w:spacing w:line="500" w:lineRule="exact"/>
        <w:jc w:val="center"/>
        <w:textAlignment w:val="auto"/>
        <w:rPr>
          <w:rFonts w:ascii="仿宋" w:hAnsi="仿宋" w:eastAsia="仿宋" w:cs="Times New Roman"/>
          <w:snapToGrid/>
          <w:color w:val="auto"/>
          <w:kern w:val="2"/>
          <w:sz w:val="32"/>
          <w:szCs w:val="32"/>
        </w:rPr>
      </w:pPr>
    </w:p>
    <w:p w14:paraId="2D226415">
      <w:pPr>
        <w:widowControl w:val="0"/>
        <w:kinsoku/>
        <w:autoSpaceDE/>
        <w:autoSpaceDN/>
        <w:adjustRightInd/>
        <w:snapToGrid/>
        <w:spacing w:line="500" w:lineRule="exact"/>
        <w:jc w:val="center"/>
        <w:textAlignment w:val="auto"/>
        <w:rPr>
          <w:rFonts w:ascii="仿宋" w:hAnsi="仿宋" w:eastAsia="仿宋" w:cs="Times New Roman"/>
          <w:snapToGrid/>
          <w:color w:val="auto"/>
          <w:kern w:val="2"/>
          <w:sz w:val="30"/>
          <w:szCs w:val="30"/>
        </w:rPr>
      </w:pPr>
      <w:r>
        <w:rPr>
          <w:rFonts w:hint="eastAsia" w:ascii="仿宋" w:hAnsi="仿宋" w:eastAsia="仿宋" w:cs="Times New Roman"/>
          <w:snapToGrid/>
          <w:color w:val="auto"/>
          <w:kern w:val="2"/>
          <w:sz w:val="30"/>
          <w:szCs w:val="30"/>
        </w:rPr>
        <w:t>（市场监督管理部门将依法向社会公示本行政处罚决定信息）</w:t>
      </w:r>
    </w:p>
    <w:p w14:paraId="50BA13B7">
      <w:pPr>
        <w:widowControl w:val="0"/>
        <w:kinsoku/>
        <w:autoSpaceDE/>
        <w:autoSpaceDN/>
        <w:adjustRightInd/>
        <w:snapToGrid/>
        <w:spacing w:line="500" w:lineRule="exact"/>
        <w:jc w:val="both"/>
        <w:textAlignment w:val="auto"/>
        <w:rPr>
          <w:rFonts w:ascii="仿宋" w:hAnsi="仿宋" w:eastAsia="仿宋" w:cs="Times New Roman"/>
          <w:b/>
          <w:bCs/>
          <w:snapToGrid/>
          <w:color w:val="auto"/>
          <w:kern w:val="2"/>
          <w:sz w:val="32"/>
          <w:szCs w:val="32"/>
          <w:u w:val="single"/>
        </w:rPr>
      </w:pPr>
      <w:r>
        <w:rPr>
          <w:rFonts w:ascii="仿宋" w:hAnsi="仿宋" w:eastAsia="仿宋" w:cs="Times New Roman"/>
          <w:b/>
          <w:bCs/>
          <w:snapToGrid/>
          <w:color w:val="auto"/>
          <w:kern w:val="2"/>
          <w:sz w:val="32"/>
          <w:szCs w:val="32"/>
          <w:u w:val="single"/>
        </w:rPr>
        <w:t xml:space="preserve">                                                        </w:t>
      </w:r>
    </w:p>
    <w:p w14:paraId="5CF32C08">
      <w:pPr>
        <w:widowControl w:val="0"/>
        <w:kinsoku/>
        <w:autoSpaceDE/>
        <w:autoSpaceDN/>
        <w:adjustRightInd/>
        <w:snapToGrid/>
        <w:spacing w:line="500" w:lineRule="exact"/>
        <w:jc w:val="both"/>
        <w:textAlignment w:val="auto"/>
        <w:rPr>
          <w:rFonts w:ascii="仿宋" w:hAnsi="仿宋" w:eastAsia="仿宋"/>
          <w:color w:val="auto"/>
          <w:sz w:val="32"/>
          <w:szCs w:val="32"/>
        </w:rPr>
      </w:pPr>
      <w:r>
        <w:rPr>
          <w:rFonts w:hint="eastAsia" w:ascii="仿宋" w:hAnsi="仿宋" w:eastAsia="仿宋" w:cs="Times New Roman"/>
          <w:snapToGrid/>
          <w:color w:val="auto"/>
          <w:kern w:val="2"/>
          <w:sz w:val="32"/>
          <w:szCs w:val="32"/>
        </w:rPr>
        <w:t>本文书一式三份，一份送达，一份归档，一份公示</w:t>
      </w:r>
    </w:p>
    <w:p w14:paraId="6D275194">
      <w:pPr>
        <w:widowControl w:val="0"/>
        <w:kinsoku/>
        <w:autoSpaceDE/>
        <w:autoSpaceDN/>
        <w:adjustRightInd/>
        <w:snapToGrid/>
        <w:spacing w:line="500" w:lineRule="exact"/>
        <w:jc w:val="both"/>
        <w:textAlignment w:val="auto"/>
        <w:rPr>
          <w:rFonts w:ascii="仿宋" w:hAnsi="仿宋" w:eastAsia="仿宋"/>
          <w:color w:val="auto"/>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hNzZkYWYyY2MyMzc4ZThhNWRiNDUwMmM4YzM1MTMifQ=="/>
  </w:docVars>
  <w:rsids>
    <w:rsidRoot w:val="009A389C"/>
    <w:rsid w:val="00082ED4"/>
    <w:rsid w:val="000F23FE"/>
    <w:rsid w:val="00203FF8"/>
    <w:rsid w:val="00295018"/>
    <w:rsid w:val="002C1C0D"/>
    <w:rsid w:val="00376941"/>
    <w:rsid w:val="003931D8"/>
    <w:rsid w:val="003C3194"/>
    <w:rsid w:val="004B1993"/>
    <w:rsid w:val="004E18DA"/>
    <w:rsid w:val="005B4438"/>
    <w:rsid w:val="00666725"/>
    <w:rsid w:val="00684A3D"/>
    <w:rsid w:val="006D730B"/>
    <w:rsid w:val="007A6627"/>
    <w:rsid w:val="007D3362"/>
    <w:rsid w:val="007F2E9B"/>
    <w:rsid w:val="00820980"/>
    <w:rsid w:val="00823551"/>
    <w:rsid w:val="008E2F83"/>
    <w:rsid w:val="0090389E"/>
    <w:rsid w:val="00950F57"/>
    <w:rsid w:val="009A389C"/>
    <w:rsid w:val="009E0F1C"/>
    <w:rsid w:val="00B538B8"/>
    <w:rsid w:val="00BC3719"/>
    <w:rsid w:val="00C0375F"/>
    <w:rsid w:val="00C50008"/>
    <w:rsid w:val="00CB040B"/>
    <w:rsid w:val="00CF1B92"/>
    <w:rsid w:val="00CF6D1B"/>
    <w:rsid w:val="00DC37A2"/>
    <w:rsid w:val="00EF727F"/>
    <w:rsid w:val="00F1790B"/>
    <w:rsid w:val="00F23500"/>
    <w:rsid w:val="00F8685F"/>
    <w:rsid w:val="00F872C0"/>
    <w:rsid w:val="07C40E37"/>
    <w:rsid w:val="07FF2725"/>
    <w:rsid w:val="1D406D0C"/>
    <w:rsid w:val="33AE01CB"/>
    <w:rsid w:val="353876C7"/>
    <w:rsid w:val="35715037"/>
    <w:rsid w:val="39580AE9"/>
    <w:rsid w:val="3A3F5336"/>
    <w:rsid w:val="41C433CD"/>
    <w:rsid w:val="44141CC7"/>
    <w:rsid w:val="467A5F3B"/>
    <w:rsid w:val="4E5B7257"/>
    <w:rsid w:val="542979FB"/>
    <w:rsid w:val="59D31C71"/>
    <w:rsid w:val="5C4D737E"/>
    <w:rsid w:val="5D325865"/>
    <w:rsid w:val="5E4D7DDD"/>
    <w:rsid w:val="656E188E"/>
    <w:rsid w:val="6C2A5CBF"/>
    <w:rsid w:val="6DD07A28"/>
    <w:rsid w:val="71F83BC8"/>
    <w:rsid w:val="7D847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 w:type="paragraph" w:styleId="3">
    <w:name w:val="header"/>
    <w:basedOn w:val="1"/>
    <w:link w:val="11"/>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rPr>
  </w:style>
  <w:style w:type="paragraph" w:styleId="4">
    <w:name w:val="Normal (Web)"/>
    <w:basedOn w:val="1"/>
    <w:unhideWhenUsed/>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character" w:styleId="7">
    <w:name w:val="Strong"/>
    <w:basedOn w:val="6"/>
    <w:qFormat/>
    <w:uiPriority w:val="0"/>
    <w:rPr>
      <w:b/>
      <w:bCs/>
    </w:rPr>
  </w:style>
  <w:style w:type="character" w:styleId="8">
    <w:name w:val="FollowedHyperlink"/>
    <w:basedOn w:val="6"/>
    <w:semiHidden/>
    <w:unhideWhenUsed/>
    <w:qFormat/>
    <w:uiPriority w:val="99"/>
    <w:rPr>
      <w:color w:val="000000"/>
      <w:sz w:val="18"/>
      <w:szCs w:val="18"/>
      <w:u w:val="none"/>
    </w:rPr>
  </w:style>
  <w:style w:type="character" w:styleId="9">
    <w:name w:val="Emphasis"/>
    <w:basedOn w:val="6"/>
    <w:qFormat/>
    <w:uiPriority w:val="20"/>
  </w:style>
  <w:style w:type="character" w:styleId="10">
    <w:name w:val="Hyperlink"/>
    <w:basedOn w:val="6"/>
    <w:semiHidden/>
    <w:unhideWhenUsed/>
    <w:qFormat/>
    <w:uiPriority w:val="99"/>
    <w:rPr>
      <w:color w:val="000000"/>
      <w:sz w:val="18"/>
      <w:szCs w:val="18"/>
      <w:u w:val="none"/>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 w:type="paragraph" w:styleId="13">
    <w:name w:val="List Paragraph"/>
    <w:basedOn w:val="1"/>
    <w:qFormat/>
    <w:uiPriority w:val="34"/>
    <w:pPr>
      <w:ind w:firstLine="420" w:firstLineChars="200"/>
    </w:pPr>
  </w:style>
  <w:style w:type="table" w:customStyle="1" w:styleId="14">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15">
    <w:name w:val="red"/>
    <w:basedOn w:val="6"/>
    <w:qFormat/>
    <w:uiPriority w:val="0"/>
    <w:rPr>
      <w:color w:val="FF0000"/>
    </w:rPr>
  </w:style>
  <w:style w:type="character" w:customStyle="1" w:styleId="16">
    <w:name w:val="default2"/>
    <w:basedOn w:val="6"/>
    <w:qFormat/>
    <w:uiPriority w:val="0"/>
  </w:style>
  <w:style w:type="character" w:customStyle="1" w:styleId="17">
    <w:name w:val="num"/>
    <w:basedOn w:val="6"/>
    <w:qFormat/>
    <w:uiPriority w:val="0"/>
    <w:rPr>
      <w:rFonts w:ascii="Arial" w:hAnsi="Arial" w:cs="Arial"/>
      <w:color w:val="FFFFFF"/>
      <w:sz w:val="16"/>
      <w:szCs w:val="16"/>
    </w:rPr>
  </w:style>
  <w:style w:type="character" w:customStyle="1" w:styleId="18">
    <w:name w:val="blf"/>
    <w:basedOn w:val="6"/>
    <w:qFormat/>
    <w:uiPriority w:val="0"/>
  </w:style>
  <w:style w:type="character" w:customStyle="1" w:styleId="19">
    <w:name w:val="brt"/>
    <w:basedOn w:val="6"/>
    <w:qFormat/>
    <w:uiPriority w:val="0"/>
  </w:style>
  <w:style w:type="character" w:customStyle="1" w:styleId="20">
    <w:name w:val="show2"/>
    <w:basedOn w:val="6"/>
    <w:qFormat/>
    <w:uiPriority w:val="0"/>
  </w:style>
  <w:style w:type="character" w:customStyle="1" w:styleId="21">
    <w:name w:val="show3"/>
    <w:basedOn w:val="6"/>
    <w:qFormat/>
    <w:uiPriority w:val="0"/>
  </w:style>
  <w:style w:type="character" w:customStyle="1" w:styleId="22">
    <w:name w:val="default"/>
    <w:basedOn w:val="6"/>
    <w:qFormat/>
    <w:uiPriority w:val="0"/>
  </w:style>
  <w:style w:type="character" w:customStyle="1" w:styleId="23">
    <w:name w:val="show"/>
    <w:basedOn w:val="6"/>
    <w:qFormat/>
    <w:uiPriority w:val="0"/>
  </w:style>
  <w:style w:type="character" w:customStyle="1" w:styleId="24">
    <w:name w:val="show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1512</Words>
  <Characters>1616</Characters>
  <Lines>18</Lines>
  <Paragraphs>5</Paragraphs>
  <TotalTime>13</TotalTime>
  <ScaleCrop>false</ScaleCrop>
  <LinksUpToDate>false</LinksUpToDate>
  <CharactersWithSpaces>1696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2021-10-13T15:06:00Z</dcterms:created>
  <dc:creator>Windows 用户</dc:creator>
  <cp:lastModifiedBy>Administrator</cp:lastModifiedBy>
  <cp:lastPrinted>2024-07-23T06:55:00Z</cp:lastPrinted>
  <dcterms:modified xsi:type="dcterms:W3CDTF">2024-08-02T03:39:54Z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58A4F54D38354B68BE89205DAFF8A940</vt:lpwstr>
  </property>
</Properties>
</file>