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F8" w:rsidRDefault="00115B53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</w:rPr>
        <w:t>秦皇岛市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7073F8" w:rsidRDefault="00115B53">
      <w:pPr>
        <w:spacing w:line="64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行政处罚决定书</w:t>
      </w:r>
    </w:p>
    <w:p w:rsidR="007073F8" w:rsidRDefault="007073F8" w:rsidP="00A72EF0">
      <w:pPr>
        <w:wordWrap w:val="0"/>
        <w:snapToGrid w:val="0"/>
        <w:spacing w:beforeLines="100" w:afterLines="100" w:line="520" w:lineRule="exact"/>
        <w:jc w:val="center"/>
        <w:rPr>
          <w:rFonts w:ascii="仿宋_GB2312" w:eastAsia="仿宋_GB2312" w:cs="仿宋"/>
          <w:sz w:val="32"/>
          <w:szCs w:val="32"/>
        </w:rPr>
      </w:pPr>
      <w:r w:rsidRPr="007073F8">
        <w:rPr>
          <w:rFonts w:ascii="仿宋_GB2312" w:hAnsi="仿宋_GB23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 2" o:spid="_x0000_s1028" type="#_x0000_t32" style="position:absolute;left:0;text-align:left;margin-left:2pt;margin-top:1638pt;width:453.7pt;height:.1pt;z-index:14;mso-wrap-distance-left:3.17494mm;mso-wrap-distance-right:3.17494mm" strokeweight="1.5pt"/>
        </w:pict>
      </w:r>
      <w:r w:rsidR="00115B53">
        <w:rPr>
          <w:rFonts w:ascii="仿宋_GB2312" w:eastAsia="仿宋_GB2312" w:cs="仿宋" w:hint="eastAsia"/>
          <w:sz w:val="32"/>
          <w:szCs w:val="32"/>
        </w:rPr>
        <w:t>秦市监处</w:t>
      </w:r>
      <w:r w:rsidR="00115B53">
        <w:rPr>
          <w:rFonts w:ascii="仿宋_GB2312" w:eastAsia="仿宋_GB2312" w:cs="仿宋"/>
          <w:sz w:val="32"/>
          <w:szCs w:val="32"/>
        </w:rPr>
        <w:t>罚</w:t>
      </w:r>
      <w:r w:rsidR="00115B53">
        <w:rPr>
          <w:rFonts w:ascii="仿宋_GB2312" w:eastAsia="仿宋_GB2312" w:cs="仿宋" w:hint="eastAsia"/>
          <w:sz w:val="32"/>
          <w:szCs w:val="32"/>
        </w:rPr>
        <w:t>〔</w:t>
      </w:r>
      <w:r w:rsidR="00115B53">
        <w:rPr>
          <w:rFonts w:ascii="仿宋_GB2312" w:eastAsia="仿宋_GB2312" w:cs="仿宋" w:hint="eastAsia"/>
          <w:sz w:val="32"/>
          <w:szCs w:val="32"/>
        </w:rPr>
        <w:t>2024</w:t>
      </w:r>
      <w:r w:rsidR="00115B53">
        <w:rPr>
          <w:rFonts w:ascii="仿宋_GB2312" w:eastAsia="仿宋_GB2312" w:cs="仿宋" w:hint="eastAsia"/>
          <w:sz w:val="32"/>
          <w:szCs w:val="32"/>
        </w:rPr>
        <w:t>〕</w:t>
      </w:r>
      <w:r w:rsidR="00115B53">
        <w:rPr>
          <w:rFonts w:ascii="仿宋_GB2312" w:eastAsia="仿宋_GB2312" w:cs="仿宋"/>
          <w:sz w:val="32"/>
          <w:szCs w:val="32"/>
        </w:rPr>
        <w:t>17</w:t>
      </w:r>
      <w:r w:rsidR="00115B53">
        <w:rPr>
          <w:rFonts w:ascii="仿宋_GB2312" w:eastAsia="仿宋_GB2312" w:cs="仿宋" w:hint="eastAsia"/>
          <w:sz w:val="32"/>
          <w:szCs w:val="32"/>
        </w:rPr>
        <w:t>号</w:t>
      </w:r>
    </w:p>
    <w:p w:rsidR="007073F8" w:rsidRDefault="00115B53">
      <w:pPr>
        <w:spacing w:line="56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当事人：</w:t>
      </w:r>
      <w:r>
        <w:rPr>
          <w:rFonts w:ascii="仿宋_GB2312" w:eastAsia="仿宋_GB2312" w:cs="仿宋_GB2312" w:hint="eastAsia"/>
          <w:bCs/>
          <w:sz w:val="32"/>
          <w:szCs w:val="32"/>
        </w:rPr>
        <w:t>海港区可香餐饮店</w:t>
      </w:r>
    </w:p>
    <w:p w:rsidR="007073F8" w:rsidRDefault="00115B53">
      <w:pPr>
        <w:spacing w:line="56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主体资格证照名称：</w:t>
      </w:r>
      <w:r>
        <w:rPr>
          <w:rFonts w:ascii="仿宋_GB2312" w:eastAsia="仿宋_GB2312" w:cs="仿宋_GB2312" w:hint="eastAsia"/>
          <w:sz w:val="32"/>
          <w:szCs w:val="32"/>
        </w:rPr>
        <w:t>营业执照</w:t>
      </w:r>
    </w:p>
    <w:p w:rsidR="007073F8" w:rsidRPr="00A72EF0" w:rsidRDefault="00115B53">
      <w:pPr>
        <w:spacing w:line="56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统一社会信用代码（注册证号）：</w:t>
      </w:r>
      <w:r>
        <w:rPr>
          <w:rFonts w:ascii="仿宋_GB2312" w:eastAsia="仿宋_GB2312" w:cs="仿宋_GB2312" w:hint="eastAsia"/>
          <w:sz w:val="32"/>
          <w:szCs w:val="32"/>
        </w:rPr>
        <w:t>92130</w:t>
      </w:r>
      <w:r>
        <w:rPr>
          <w:rFonts w:ascii="仿宋_GB2312" w:eastAsia="仿宋_GB2312" w:cs="仿宋_GB2312" w:hint="eastAsia"/>
          <w:sz w:val="32"/>
          <w:szCs w:val="32"/>
        </w:rPr>
        <w:t>302MAD4LAXKX3</w:t>
      </w:r>
    </w:p>
    <w:p w:rsidR="007073F8" w:rsidRDefault="00115B53">
      <w:pPr>
        <w:spacing w:line="56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住所（住址）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: </w:t>
      </w:r>
      <w:r>
        <w:rPr>
          <w:rFonts w:ascii="仿宋_GB2312" w:eastAsia="仿宋_GB2312" w:cs="仿宋_GB2312" w:hint="eastAsia"/>
          <w:sz w:val="32"/>
          <w:szCs w:val="32"/>
        </w:rPr>
        <w:t>秦皇岛市海港区白塔岭街道秦海路</w:t>
      </w:r>
      <w:r>
        <w:rPr>
          <w:rFonts w:ascii="仿宋_GB2312" w:eastAsia="仿宋_GB2312" w:cs="仿宋_GB2312" w:hint="eastAsia"/>
          <w:sz w:val="32"/>
          <w:szCs w:val="32"/>
        </w:rPr>
        <w:t>37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073F8" w:rsidRDefault="00115B53">
      <w:pPr>
        <w:spacing w:line="560" w:lineRule="exact"/>
        <w:ind w:left="1" w:hanging="1"/>
        <w:rPr>
          <w:rFonts w:ascii="仿宋_GB2312" w:eastAsia="仿宋_GB2312" w:cs="Mongolian Baiti"/>
          <w:sz w:val="32"/>
          <w:szCs w:val="32"/>
        </w:rPr>
      </w:pPr>
      <w:r>
        <w:rPr>
          <w:rFonts w:ascii="仿宋_GB2312" w:eastAsia="仿宋_GB2312" w:cs="Mongolian Baiti" w:hint="eastAsia"/>
          <w:sz w:val="32"/>
          <w:szCs w:val="32"/>
        </w:rPr>
        <w:t>法定代表人（负责人、经营者）：</w:t>
      </w:r>
      <w:r>
        <w:rPr>
          <w:rFonts w:ascii="Times New Roman" w:eastAsia="仿宋_GB2312" w:hAnsi="Times New Roman" w:cs="仿宋_GB2312"/>
          <w:bCs/>
          <w:color w:val="000000"/>
          <w:sz w:val="32"/>
          <w:szCs w:val="32"/>
        </w:rPr>
        <w:t>王丽梅</w:t>
      </w:r>
    </w:p>
    <w:p w:rsidR="007073F8" w:rsidRPr="00A72EF0" w:rsidRDefault="00115B53" w:rsidP="00A72EF0">
      <w:pPr>
        <w:spacing w:line="560" w:lineRule="exact"/>
        <w:ind w:left="1" w:hanging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cs="Mongolian Baiti" w:hint="eastAsia"/>
          <w:spacing w:val="-26"/>
          <w:sz w:val="32"/>
          <w:szCs w:val="32"/>
        </w:rPr>
        <w:t>身份证</w:t>
      </w:r>
      <w:r>
        <w:rPr>
          <w:rFonts w:ascii="仿宋_GB2312" w:eastAsia="仿宋_GB2312" w:cs="Mongolian Baiti" w:hint="eastAsia"/>
          <w:sz w:val="32"/>
          <w:szCs w:val="32"/>
        </w:rPr>
        <w:t>（</w:t>
      </w:r>
      <w:r>
        <w:rPr>
          <w:rFonts w:ascii="仿宋_GB2312" w:eastAsia="仿宋_GB2312" w:cs="Mongolian Baiti" w:hint="eastAsia"/>
          <w:spacing w:val="-26"/>
          <w:sz w:val="32"/>
          <w:szCs w:val="32"/>
        </w:rPr>
        <w:t>其他有效证件</w:t>
      </w:r>
      <w:r>
        <w:rPr>
          <w:rFonts w:ascii="仿宋_GB2312" w:eastAsia="仿宋_GB2312" w:cs="Mongolian Baiti" w:hint="eastAsia"/>
          <w:spacing w:val="-57"/>
          <w:sz w:val="32"/>
          <w:szCs w:val="32"/>
        </w:rPr>
        <w:t>）</w:t>
      </w:r>
      <w:r>
        <w:rPr>
          <w:rFonts w:ascii="仿宋_GB2312" w:eastAsia="仿宋_GB2312" w:cs="Mongolian Baiti" w:hint="eastAsia"/>
          <w:spacing w:val="-26"/>
          <w:sz w:val="32"/>
          <w:szCs w:val="32"/>
        </w:rPr>
        <w:t>号码：</w:t>
      </w:r>
      <w:r>
        <w:rPr>
          <w:rFonts w:ascii="仿宋_GB2312" w:eastAsia="仿宋_GB2312" w:cs="仿宋" w:hint="eastAsia"/>
          <w:sz w:val="32"/>
          <w:szCs w:val="32"/>
        </w:rPr>
        <w:t>1303</w:t>
      </w:r>
      <w:r>
        <w:rPr>
          <w:rFonts w:ascii="仿宋_GB2312" w:eastAsia="仿宋_GB2312" w:cs="仿宋"/>
          <w:sz w:val="32"/>
          <w:szCs w:val="32"/>
        </w:rPr>
        <w:t>2</w:t>
      </w:r>
      <w:r w:rsidR="00A72EF0">
        <w:rPr>
          <w:rFonts w:ascii="仿宋" w:eastAsia="仿宋" w:hAnsi="仿宋" w:cs="仿宋" w:hint="eastAsia"/>
          <w:bCs/>
          <w:sz w:val="32"/>
          <w:szCs w:val="32"/>
        </w:rPr>
        <w:t>*************</w:t>
      </w:r>
    </w:p>
    <w:p w:rsidR="007073F8" w:rsidRDefault="00115B53">
      <w:pPr>
        <w:spacing w:line="560" w:lineRule="exact"/>
        <w:ind w:left="1" w:hanging="1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联系电话：</w:t>
      </w:r>
      <w:r>
        <w:rPr>
          <w:rFonts w:ascii="仿宋_GB2312" w:eastAsia="仿宋_GB2312" w:cs="仿宋_GB2312" w:hint="eastAsia"/>
          <w:sz w:val="32"/>
          <w:szCs w:val="32"/>
        </w:rPr>
        <w:t>139</w:t>
      </w:r>
      <w:r w:rsidR="00A72EF0">
        <w:rPr>
          <w:rFonts w:ascii="仿宋" w:eastAsia="仿宋" w:hAnsi="仿宋" w:cs="仿宋" w:hint="eastAsia"/>
          <w:bCs/>
          <w:sz w:val="32"/>
          <w:szCs w:val="32"/>
        </w:rPr>
        <w:t>********</w:t>
      </w:r>
      <w:r>
        <w:rPr>
          <w:rFonts w:ascii="仿宋_GB2312" w:eastAsia="仿宋_GB2312" w:cs="仿宋" w:hint="eastAsia"/>
          <w:sz w:val="32"/>
          <w:szCs w:val="32"/>
        </w:rPr>
        <w:t>其他联系方式：无</w:t>
      </w:r>
    </w:p>
    <w:p w:rsidR="007073F8" w:rsidRDefault="00115B53">
      <w:pPr>
        <w:spacing w:line="560" w:lineRule="exact"/>
        <w:ind w:left="1" w:hanging="1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联系地址：</w:t>
      </w:r>
      <w:r>
        <w:rPr>
          <w:rFonts w:ascii="仿宋_GB2312" w:eastAsia="仿宋_GB2312" w:cs="仿宋_GB2312" w:hint="eastAsia"/>
          <w:sz w:val="32"/>
          <w:szCs w:val="32"/>
        </w:rPr>
        <w:t>秦皇岛市海港区白塔岭街道秦海路</w:t>
      </w:r>
      <w:r>
        <w:rPr>
          <w:rFonts w:ascii="仿宋_GB2312" w:eastAsia="仿宋_GB2312" w:cs="仿宋_GB2312" w:hint="eastAsia"/>
          <w:sz w:val="32"/>
          <w:szCs w:val="32"/>
        </w:rPr>
        <w:t>37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本案来源于监督检查。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日，执法人员对当事人进行检查时，于当事人经营场所内及工作人员宿舍床底下发现了标签标识标有“内部特供酒”、“内供酒”及“窖藏酒”的四款白酒，且标签标识没有生产者的名称、地址、联系方式、没有生产许可证编号，没有酒精度数，没有生产日期，没有成分或者配料表，没有产品标准代号，没有贮存条件等。其中内部特供酒</w:t>
      </w:r>
      <w:r>
        <w:rPr>
          <w:rFonts w:ascii="仿宋_GB2312" w:eastAsia="仿宋_GB2312" w:cs="仿宋_GB2312" w:hint="eastAsia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瓶，一斤装内供酒</w:t>
      </w:r>
      <w:r>
        <w:rPr>
          <w:rFonts w:ascii="仿宋_GB2312" w:eastAsia="仿宋_GB2312" w:cs="仿宋_GB2312" w:hint="eastAsia"/>
          <w:sz w:val="32"/>
          <w:szCs w:val="32"/>
        </w:rPr>
        <w:t>100</w:t>
      </w:r>
      <w:r>
        <w:rPr>
          <w:rFonts w:ascii="仿宋_GB2312" w:eastAsia="仿宋_GB2312" w:cs="仿宋_GB2312" w:hint="eastAsia"/>
          <w:sz w:val="32"/>
          <w:szCs w:val="32"/>
        </w:rPr>
        <w:t>瓶，二斤装内供酒</w:t>
      </w:r>
      <w:r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瓶，二斤装的黑色瓶装窖藏酒</w:t>
      </w:r>
      <w:r>
        <w:rPr>
          <w:rFonts w:ascii="仿宋_GB2312" w:eastAsia="仿宋_GB2312" w:cs="仿宋_GB2312" w:hint="eastAsia"/>
          <w:sz w:val="32"/>
          <w:szCs w:val="32"/>
        </w:rPr>
        <w:t>32</w:t>
      </w:r>
      <w:r>
        <w:rPr>
          <w:rFonts w:ascii="仿宋_GB2312" w:eastAsia="仿宋_GB2312" w:cs="仿宋_GB2312" w:hint="eastAsia"/>
          <w:sz w:val="32"/>
          <w:szCs w:val="32"/>
        </w:rPr>
        <w:t>瓶。执法人员现场调取了当事人违法行为的证据，现场对上述四款白酒采取了行政强制措施。</w:t>
      </w:r>
      <w:r>
        <w:rPr>
          <w:rFonts w:ascii="仿宋_GB2312" w:eastAsia="仿宋_GB2312" w:cs="仿宋_GB2312" w:hint="eastAsia"/>
          <w:sz w:val="32"/>
          <w:szCs w:val="32"/>
        </w:rPr>
        <w:t>经局长批准，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，该案立案调查。案件承办人员在调查过程中提取了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当事人</w:t>
      </w:r>
      <w:r>
        <w:rPr>
          <w:rFonts w:ascii="仿宋_GB2312" w:eastAsia="仿宋_GB2312" w:cs="仿宋_GB2312"/>
          <w:bCs/>
          <w:sz w:val="32"/>
          <w:szCs w:val="32"/>
        </w:rPr>
        <w:t>经营标签不符合法律规定</w:t>
      </w:r>
      <w:r>
        <w:rPr>
          <w:rFonts w:ascii="仿宋_GB2312" w:eastAsia="仿宋_GB2312" w:cs="仿宋_GB2312" w:hint="eastAsia"/>
          <w:bCs/>
          <w:sz w:val="32"/>
          <w:szCs w:val="32"/>
        </w:rPr>
        <w:t>的</w:t>
      </w:r>
      <w:r>
        <w:rPr>
          <w:rFonts w:ascii="仿宋_GB2312" w:eastAsia="仿宋_GB2312" w:cs="仿宋_GB2312"/>
          <w:bCs/>
          <w:sz w:val="32"/>
          <w:szCs w:val="32"/>
        </w:rPr>
        <w:t>预包装酒</w:t>
      </w:r>
      <w:r>
        <w:rPr>
          <w:rFonts w:ascii="仿宋_GB2312" w:eastAsia="仿宋_GB2312" w:cs="仿宋_GB2312" w:hint="eastAsia"/>
          <w:sz w:val="32"/>
          <w:szCs w:val="32"/>
        </w:rPr>
        <w:t>的物证、书证及当事人的询问笔录，并形成了完整的证据链。</w:t>
      </w:r>
      <w:r>
        <w:rPr>
          <w:rFonts w:ascii="仿宋_GB2312" w:eastAsia="仿宋_GB2312" w:cs="仿宋_GB2312" w:hint="eastAsia"/>
          <w:sz w:val="32"/>
          <w:szCs w:val="32"/>
        </w:rPr>
        <w:t>当事人经营标签印有“内部特供酒”“内供酒”内容的酒违反了《中华人民共和国食品安全法》第七十一条第一款</w:t>
      </w:r>
      <w:r>
        <w:rPr>
          <w:rFonts w:ascii="仿宋_GB2312" w:eastAsia="仿宋_GB2312" w:cs="仿宋_GB2312"/>
          <w:sz w:val="32"/>
          <w:szCs w:val="32"/>
        </w:rPr>
        <w:t>的规定</w:t>
      </w:r>
      <w:r>
        <w:rPr>
          <w:rFonts w:ascii="仿宋_GB2312" w:eastAsia="仿宋_GB2312" w:cs="仿宋_GB2312" w:hint="eastAsia"/>
          <w:sz w:val="32"/>
          <w:szCs w:val="32"/>
        </w:rPr>
        <w:t>；当事人经营标签标识没有生产者的名称、地址、联系方式、生产许可证编号，没有酒精度数，没有生产日期，没有成分或者配料表，没有产品标准代号，没有贮存条件的预包装酒违反了《中华人民共和国食品安全法》第六十七条第一款第（一）、（二）、（三）、（五）、（六）、（七）、</w:t>
      </w:r>
      <w:r>
        <w:rPr>
          <w:rFonts w:ascii="仿宋_GB2312" w:eastAsia="仿宋_GB2312" w:cs="仿宋_GB2312" w:hint="eastAsia"/>
          <w:sz w:val="32"/>
          <w:szCs w:val="32"/>
        </w:rPr>
        <w:t>（八）项的规定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上述四款</w:t>
      </w:r>
      <w:r>
        <w:rPr>
          <w:rFonts w:ascii="仿宋_GB2312" w:eastAsia="仿宋_GB2312" w:cs="仿宋_GB2312" w:hint="eastAsia"/>
          <w:sz w:val="32"/>
          <w:szCs w:val="32"/>
        </w:rPr>
        <w:t>白酒是</w:t>
      </w:r>
      <w:r>
        <w:rPr>
          <w:rFonts w:ascii="仿宋_GB2312" w:eastAsia="仿宋_GB2312" w:cs="仿宋_GB2312"/>
          <w:sz w:val="32"/>
          <w:szCs w:val="32"/>
        </w:rPr>
        <w:t>王丽梅的</w:t>
      </w:r>
      <w:r>
        <w:rPr>
          <w:rFonts w:ascii="仿宋_GB2312" w:eastAsia="仿宋_GB2312" w:cs="仿宋_GB2312" w:hint="eastAsia"/>
          <w:sz w:val="32"/>
          <w:szCs w:val="32"/>
        </w:rPr>
        <w:t>哥</w:t>
      </w:r>
      <w:r>
        <w:rPr>
          <w:rFonts w:ascii="仿宋_GB2312" w:eastAsia="仿宋_GB2312" w:cs="仿宋_GB2312"/>
          <w:sz w:val="32"/>
          <w:szCs w:val="32"/>
        </w:rPr>
        <w:t>哥</w:t>
      </w:r>
      <w:r>
        <w:rPr>
          <w:rFonts w:ascii="仿宋_GB2312" w:eastAsia="仿宋_GB2312" w:cs="仿宋_GB2312" w:hint="eastAsia"/>
          <w:sz w:val="32"/>
          <w:szCs w:val="32"/>
        </w:rPr>
        <w:t>王志民今年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月份从卢龙优广酒厂购进，放到了她的店里，王志民有时候在店里招待客人饮用这种酒，王丽梅有的时候招待客人也饮用这种酒，一开始并没有想销售，只是自用，因为有“内部特供酒”、“特供酒”等字眼，且没有厂家信息，觉得招待客人的时候比较有面子。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日，执法人员将上述四款白酒送至秦皇岛市食品药品检验中心，经检验，四款酒内容物符合饮用标准，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日，执法人员向当事人送达了检验报告及检验结果告知书，法定期限内当事人未提出复检及异议。当事人一共采购了内部特供酒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箱，每箱</w:t>
      </w:r>
      <w:r>
        <w:rPr>
          <w:rFonts w:ascii="仿宋_GB2312" w:eastAsia="仿宋_GB2312" w:cs="仿宋_GB2312" w:hint="eastAsia"/>
          <w:sz w:val="32"/>
          <w:szCs w:val="32"/>
        </w:rPr>
        <w:t>160</w:t>
      </w:r>
      <w:r>
        <w:rPr>
          <w:rFonts w:ascii="仿宋_GB2312" w:eastAsia="仿宋_GB2312" w:cs="仿宋_GB2312" w:hint="eastAsia"/>
          <w:sz w:val="32"/>
          <w:szCs w:val="32"/>
        </w:rPr>
        <w:t>元，一斤装内供酒</w:t>
      </w:r>
      <w:r>
        <w:rPr>
          <w:rFonts w:ascii="仿宋_GB2312" w:eastAsia="仿宋_GB2312" w:cs="仿宋_GB2312" w:hint="eastAsia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箱，每箱</w:t>
      </w:r>
      <w:r>
        <w:rPr>
          <w:rFonts w:ascii="仿宋_GB2312" w:eastAsia="仿宋_GB2312" w:cs="仿宋_GB2312" w:hint="eastAsia"/>
          <w:sz w:val="32"/>
          <w:szCs w:val="32"/>
        </w:rPr>
        <w:t>210</w:t>
      </w:r>
      <w:r>
        <w:rPr>
          <w:rFonts w:ascii="仿宋_GB2312" w:eastAsia="仿宋_GB2312" w:cs="仿宋_GB2312" w:hint="eastAsia"/>
          <w:sz w:val="32"/>
          <w:szCs w:val="32"/>
        </w:rPr>
        <w:t>元，二斤装内供酒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箱，每箱</w:t>
      </w:r>
      <w:r>
        <w:rPr>
          <w:rFonts w:ascii="仿宋_GB2312" w:eastAsia="仿宋_GB2312" w:cs="仿宋_GB2312" w:hint="eastAsia"/>
          <w:sz w:val="32"/>
          <w:szCs w:val="32"/>
        </w:rPr>
        <w:t>210</w:t>
      </w:r>
      <w:r>
        <w:rPr>
          <w:rFonts w:ascii="仿宋_GB2312" w:eastAsia="仿宋_GB2312" w:cs="仿宋_GB2312" w:hint="eastAsia"/>
          <w:sz w:val="32"/>
          <w:szCs w:val="32"/>
        </w:rPr>
        <w:t>元，二斤装的黑色瓶装窖藏酒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箱，每箱</w:t>
      </w:r>
      <w:r>
        <w:rPr>
          <w:rFonts w:ascii="仿宋_GB2312" w:eastAsia="仿宋_GB2312" w:cs="仿宋_GB2312" w:hint="eastAsia"/>
          <w:sz w:val="32"/>
          <w:szCs w:val="32"/>
        </w:rPr>
        <w:t>210</w:t>
      </w:r>
      <w:r>
        <w:rPr>
          <w:rFonts w:ascii="仿宋_GB2312" w:eastAsia="仿宋_GB2312" w:cs="仿宋_GB2312" w:hint="eastAsia"/>
          <w:sz w:val="32"/>
          <w:szCs w:val="32"/>
        </w:rPr>
        <w:t>元。后来有经常去店里吃饭的顾客看到他们饮用这种酒，也想饮用，当事人一共销售了三次一斤装的内供酒，共销售了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瓶，每瓶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20</w:t>
      </w:r>
      <w:r>
        <w:rPr>
          <w:rFonts w:ascii="仿宋_GB2312" w:eastAsia="仿宋_GB2312" w:cs="仿宋_GB2312" w:hint="eastAsia"/>
          <w:sz w:val="32"/>
          <w:szCs w:val="32"/>
        </w:rPr>
        <w:t>元，共计</w:t>
      </w:r>
      <w:r>
        <w:rPr>
          <w:rFonts w:ascii="仿宋_GB2312" w:eastAsia="仿宋_GB2312" w:cs="仿宋_GB2312" w:hint="eastAsia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元。所以该案的货值金额为</w:t>
      </w:r>
      <w:r>
        <w:rPr>
          <w:rFonts w:ascii="仿宋_GB2312" w:eastAsia="仿宋_GB2312" w:cs="仿宋_GB2312" w:hint="eastAsia"/>
          <w:sz w:val="32"/>
          <w:szCs w:val="32"/>
        </w:rPr>
        <w:t>160*3+210*10+210*2+210*6=4260</w:t>
      </w:r>
      <w:r>
        <w:rPr>
          <w:rFonts w:ascii="仿宋_GB2312" w:eastAsia="仿宋_GB2312" w:cs="仿宋_GB2312" w:hint="eastAsia"/>
          <w:sz w:val="32"/>
          <w:szCs w:val="32"/>
        </w:rPr>
        <w:t>元，违法所得为</w:t>
      </w:r>
      <w:r>
        <w:rPr>
          <w:rFonts w:ascii="仿宋_GB2312" w:eastAsia="仿宋_GB2312" w:cs="仿宋_GB2312" w:hint="eastAsia"/>
          <w:sz w:val="32"/>
          <w:szCs w:val="32"/>
        </w:rPr>
        <w:t>20*3=60</w:t>
      </w:r>
      <w:r>
        <w:rPr>
          <w:rFonts w:ascii="仿宋_GB2312" w:eastAsia="仿宋_GB2312" w:cs="仿宋_GB2312" w:hint="eastAsia"/>
          <w:sz w:val="32"/>
          <w:szCs w:val="32"/>
        </w:rPr>
        <w:t>元。</w:t>
      </w:r>
      <w:r>
        <w:rPr>
          <w:rFonts w:ascii="仿宋_GB2312" w:eastAsia="仿宋_GB2312" w:cs="仿宋" w:hint="eastAsia"/>
          <w:sz w:val="32"/>
          <w:szCs w:val="32"/>
        </w:rPr>
        <w:t>上述事实，主要有以下证据证明：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当事人营业执照、食品经营许可证复印件、证明当事人合法资质。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负责人王丽梅身份证复印件，证明王丽梅</w:t>
      </w:r>
      <w:r>
        <w:rPr>
          <w:rFonts w:ascii="仿宋_GB2312" w:eastAsia="仿宋_GB2312" w:hint="eastAsia"/>
          <w:sz w:val="32"/>
          <w:szCs w:val="32"/>
        </w:rPr>
        <w:t>所作的陈</w:t>
      </w:r>
      <w:r>
        <w:rPr>
          <w:rFonts w:ascii="仿宋_GB2312" w:eastAsia="仿宋_GB2312" w:hint="eastAsia"/>
          <w:sz w:val="32"/>
          <w:szCs w:val="32"/>
        </w:rPr>
        <w:t>述和行为为职务行为，具有法律效力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执法人员调取的当事人销售票据，证明当事人销售内供酒的数量及价格。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、四款白酒的现场照片，证明其标签标识印有内部特供酒、内供酒及未标注生产者的名称、地址、联系方式、生产许可证编号，酒精度数，生产日期，成分或者配料表，产品标准代号，贮存条件等内容。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</w:t>
      </w:r>
      <w:r>
        <w:rPr>
          <w:rFonts w:ascii="仿宋_GB2312" w:eastAsia="仿宋_GB2312" w:cs="仿宋_GB2312"/>
          <w:sz w:val="32"/>
          <w:szCs w:val="32"/>
        </w:rPr>
        <w:t>四款酒的检验报告，证明酒体内容物符合饮用标准。</w:t>
      </w:r>
    </w:p>
    <w:p w:rsidR="007073F8" w:rsidRDefault="00115B53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现场检查笔录、王丽梅的询问笔录，证明</w:t>
      </w:r>
      <w:r>
        <w:rPr>
          <w:rFonts w:ascii="仿宋_GB2312" w:eastAsia="仿宋_GB2312" w:cs="仿宋_GB2312" w:hint="eastAsia"/>
          <w:bCs/>
          <w:sz w:val="32"/>
          <w:szCs w:val="32"/>
        </w:rPr>
        <w:t>执法人员现场发现情况及违法事实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7073F8" w:rsidRDefault="00115B53">
      <w:pPr>
        <w:spacing w:line="55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当事人经营标签印有“内部特供酒”“内供酒”内容的酒违反了《中华人民共和国食品安全法》第七十一条第一款</w:t>
      </w:r>
      <w:r>
        <w:rPr>
          <w:rFonts w:ascii="仿宋_GB2312" w:eastAsia="仿宋_GB2312" w:cs="仿宋_GB2312"/>
          <w:sz w:val="32"/>
          <w:szCs w:val="32"/>
        </w:rPr>
        <w:t>的规定：</w:t>
      </w:r>
      <w:r>
        <w:rPr>
          <w:rFonts w:ascii="仿宋_GB2312" w:eastAsia="仿宋_GB2312" w:cs="仿宋_GB2312" w:hint="eastAsia"/>
          <w:sz w:val="32"/>
          <w:szCs w:val="32"/>
        </w:rPr>
        <w:t>食品的标签、说明书，不得含有虚假内容；当事人经营标签标识没有生产者的名称、地址、联系方式</w:t>
      </w:r>
      <w:r>
        <w:rPr>
          <w:rFonts w:ascii="仿宋_GB2312" w:eastAsia="仿宋_GB2312" w:cs="仿宋_GB2312"/>
          <w:sz w:val="32"/>
          <w:szCs w:val="32"/>
        </w:rPr>
        <w:t>，没有</w:t>
      </w:r>
      <w:r>
        <w:rPr>
          <w:rFonts w:ascii="仿宋_GB2312" w:eastAsia="仿宋_GB2312" w:cs="仿宋_GB2312" w:hint="eastAsia"/>
          <w:sz w:val="32"/>
          <w:szCs w:val="32"/>
        </w:rPr>
        <w:t>生产许可证编号，没有酒精度数，没有生产日期，没有成分或者配料表，没有产品标准代号，没有贮存条件的预包装酒违反了《中华人民共和国食品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安全法》第六十七条第一款第（一）、（二）、（三）、（五）、（六）、（七）、（八）项的规定</w:t>
      </w:r>
      <w:r>
        <w:rPr>
          <w:rFonts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预包装食品的包装上应当有标签。标签应当标明下列事项：（一）名称、规格、净含量、生产日期；（</w:t>
      </w:r>
      <w:r>
        <w:rPr>
          <w:rFonts w:ascii="仿宋_GB2312" w:eastAsia="仿宋_GB2312" w:cs="仿宋_GB2312" w:hint="eastAsia"/>
          <w:sz w:val="32"/>
          <w:szCs w:val="32"/>
        </w:rPr>
        <w:t>二）成分或者配料表；（三）生产者的名称、地址、联系方式；（五）产品标准代号；（六）贮存条件；（七）所使用的食品添加剂在国家标准中的通用名称；（八）生产许可证编号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7073F8" w:rsidRDefault="00115B53">
      <w:pPr>
        <w:spacing w:line="55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当事人</w:t>
      </w:r>
      <w:r>
        <w:rPr>
          <w:rFonts w:ascii="仿宋_GB2312" w:eastAsia="仿宋_GB2312" w:cs="仿宋_GB2312" w:hint="eastAsia"/>
          <w:bCs/>
          <w:sz w:val="32"/>
          <w:szCs w:val="32"/>
        </w:rPr>
        <w:t>积极配合调查，如实陈述违法事实并主动提供证据材料</w:t>
      </w:r>
      <w:r>
        <w:rPr>
          <w:rFonts w:ascii="仿宋_GB2312" w:eastAsia="仿宋_GB2312" w:cs="仿宋_GB2312" w:hint="eastAsia"/>
          <w:bCs/>
          <w:sz w:val="32"/>
          <w:szCs w:val="32"/>
        </w:rPr>
        <w:t>。符合《河北省市场监督管理行政处罚裁量权适用规则》第十五条</w:t>
      </w:r>
      <w:r>
        <w:rPr>
          <w:rFonts w:ascii="仿宋_GB2312" w:eastAsia="仿宋_GB2312" w:cs="仿宋_GB2312" w:hint="eastAsia"/>
          <w:bCs/>
          <w:sz w:val="32"/>
          <w:szCs w:val="32"/>
        </w:rPr>
        <w:t>第（二）项的规定，所以拟处以从轻处罚，</w:t>
      </w:r>
      <w:r>
        <w:rPr>
          <w:rFonts w:ascii="仿宋_GB2312" w:eastAsia="仿宋_GB2312" w:cs="仿宋_GB2312" w:hint="eastAsia"/>
          <w:bCs/>
          <w:sz w:val="32"/>
          <w:szCs w:val="32"/>
        </w:rPr>
        <w:t>适用《河北省市场监督管理行政处罚裁量基准》《中华人民共和国食品安全法》行政裁量基准“</w:t>
      </w:r>
      <w:r>
        <w:rPr>
          <w:rFonts w:ascii="仿宋_GB2312" w:eastAsia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cs="仿宋_GB2312" w:hint="eastAsia"/>
          <w:bCs/>
          <w:sz w:val="32"/>
          <w:szCs w:val="32"/>
        </w:rPr>
        <w:t>”从轻情形：“没收违法所得和违法生产经营的食品、食品添加剂，并可以没收用于违法生产经营的工具、设备、原料等物品；</w:t>
      </w:r>
      <w:r>
        <w:rPr>
          <w:rFonts w:ascii="仿宋_GB2312" w:eastAsia="仿宋_GB2312" w:cs="仿宋_GB2312" w:hint="eastAsia"/>
          <w:bCs/>
          <w:sz w:val="32"/>
          <w:szCs w:val="32"/>
        </w:rPr>
        <w:t>违法生产经营的食品、食品添加剂货值金额不足一万元的，并处五千元以上一万八千五百元以下罚款”。</w:t>
      </w:r>
    </w:p>
    <w:p w:rsidR="007073F8" w:rsidRDefault="00115B53">
      <w:pPr>
        <w:spacing w:line="55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当事人</w:t>
      </w:r>
      <w:r>
        <w:rPr>
          <w:rFonts w:ascii="仿宋_GB2312" w:eastAsia="仿宋_GB2312" w:cs="仿宋_GB2312" w:hint="eastAsia"/>
          <w:bCs/>
          <w:sz w:val="32"/>
          <w:szCs w:val="32"/>
        </w:rPr>
        <w:t>经营标签不符合法律规定的预包装酒</w:t>
      </w:r>
      <w:r>
        <w:rPr>
          <w:rFonts w:ascii="仿宋_GB2312" w:eastAsia="仿宋_GB2312" w:cs="仿宋_GB2312" w:hint="eastAsia"/>
          <w:sz w:val="32"/>
          <w:szCs w:val="32"/>
        </w:rPr>
        <w:t>的违法行为依据《中华人民共和国食品安全法》第一百二十五条第一款第（二）项。</w:t>
      </w:r>
      <w:r>
        <w:rPr>
          <w:rFonts w:ascii="Times New Roman" w:eastAsia="仿宋_GB2312" w:hAnsi="Times New Roman" w:cs="仿宋_GB2312"/>
          <w:bCs/>
          <w:color w:val="000000"/>
          <w:sz w:val="32"/>
          <w:szCs w:val="32"/>
        </w:rPr>
        <w:t>参照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《</w:t>
      </w: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河北省市场监督管理行政处罚裁量权适用规则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》，对</w:t>
      </w:r>
      <w:r>
        <w:rPr>
          <w:rFonts w:ascii="Times New Roman" w:eastAsia="仿宋_GB2312" w:hAnsi="Times New Roman" w:cs="仿宋_GB2312"/>
          <w:bCs/>
          <w:sz w:val="32"/>
          <w:szCs w:val="32"/>
        </w:rPr>
        <w:t>上述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违法行为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作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出如下行政处罚：</w:t>
      </w:r>
    </w:p>
    <w:p w:rsidR="007073F8" w:rsidRDefault="00115B53">
      <w:pPr>
        <w:spacing w:line="55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z w:val="32"/>
          <w:szCs w:val="32"/>
        </w:rPr>
        <w:t>、没收违法所得</w:t>
      </w:r>
      <w:r>
        <w:rPr>
          <w:rFonts w:ascii="仿宋_GB2312" w:eastAsia="仿宋_GB2312" w:cs="仿宋_GB2312" w:hint="eastAsia"/>
          <w:bCs/>
          <w:sz w:val="32"/>
          <w:szCs w:val="32"/>
        </w:rPr>
        <w:t>60</w:t>
      </w:r>
      <w:r>
        <w:rPr>
          <w:rFonts w:ascii="仿宋_GB2312" w:eastAsia="仿宋_GB2312" w:cs="仿宋_GB2312" w:hint="eastAsia"/>
          <w:bCs/>
          <w:sz w:val="32"/>
          <w:szCs w:val="32"/>
        </w:rPr>
        <w:t>元；</w:t>
      </w:r>
    </w:p>
    <w:p w:rsidR="007073F8" w:rsidRDefault="00115B53">
      <w:pPr>
        <w:spacing w:line="550" w:lineRule="exact"/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Cs/>
          <w:sz w:val="32"/>
          <w:szCs w:val="32"/>
        </w:rPr>
        <w:t>、没收内部特供酒</w:t>
      </w:r>
      <w:r>
        <w:rPr>
          <w:rFonts w:ascii="仿宋_GB2312" w:eastAsia="仿宋_GB2312" w:cs="仿宋_GB2312" w:hint="eastAsia"/>
          <w:bCs/>
          <w:sz w:val="32"/>
          <w:szCs w:val="32"/>
        </w:rPr>
        <w:t>14</w:t>
      </w:r>
      <w:r>
        <w:rPr>
          <w:rFonts w:ascii="仿宋_GB2312" w:eastAsia="仿宋_GB2312" w:cs="仿宋_GB2312" w:hint="eastAsia"/>
          <w:bCs/>
          <w:sz w:val="32"/>
          <w:szCs w:val="32"/>
        </w:rPr>
        <w:t>瓶、一斤装内供酒</w:t>
      </w:r>
      <w:r>
        <w:rPr>
          <w:rFonts w:ascii="仿宋_GB2312" w:eastAsia="仿宋_GB2312" w:cs="仿宋_GB2312" w:hint="eastAsia"/>
          <w:bCs/>
          <w:sz w:val="32"/>
          <w:szCs w:val="32"/>
        </w:rPr>
        <w:t>96</w:t>
      </w:r>
      <w:r>
        <w:rPr>
          <w:rFonts w:ascii="仿宋_GB2312" w:eastAsia="仿宋_GB2312" w:cs="仿宋_GB2312" w:hint="eastAsia"/>
          <w:bCs/>
          <w:sz w:val="32"/>
          <w:szCs w:val="32"/>
        </w:rPr>
        <w:t>瓶、二斤装内供酒</w:t>
      </w:r>
      <w:r>
        <w:rPr>
          <w:rFonts w:ascii="仿宋_GB2312" w:eastAsia="仿宋_GB2312" w:cs="仿宋_GB2312" w:hint="eastAsia"/>
          <w:bCs/>
          <w:sz w:val="32"/>
          <w:szCs w:val="32"/>
        </w:rPr>
        <w:t>6</w:t>
      </w:r>
      <w:r>
        <w:rPr>
          <w:rFonts w:ascii="仿宋_GB2312" w:eastAsia="仿宋_GB2312" w:cs="仿宋_GB2312" w:hint="eastAsia"/>
          <w:bCs/>
          <w:sz w:val="32"/>
          <w:szCs w:val="32"/>
        </w:rPr>
        <w:t>瓶、二斤装窖藏酒</w:t>
      </w:r>
      <w:r>
        <w:rPr>
          <w:rFonts w:ascii="仿宋_GB2312" w:eastAsia="仿宋_GB2312" w:cs="仿宋_GB2312" w:hint="eastAsia"/>
          <w:bCs/>
          <w:sz w:val="32"/>
          <w:szCs w:val="32"/>
        </w:rPr>
        <w:t>28</w:t>
      </w:r>
      <w:r>
        <w:rPr>
          <w:rFonts w:ascii="仿宋_GB2312" w:eastAsia="仿宋_GB2312" w:cs="仿宋_GB2312" w:hint="eastAsia"/>
          <w:bCs/>
          <w:sz w:val="32"/>
          <w:szCs w:val="32"/>
        </w:rPr>
        <w:t>瓶；</w:t>
      </w:r>
    </w:p>
    <w:p w:rsidR="007073F8" w:rsidRDefault="00115B5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处以</w:t>
      </w:r>
      <w:r>
        <w:rPr>
          <w:rFonts w:ascii="仿宋_GB2312" w:eastAsia="仿宋_GB2312" w:hint="eastAsia"/>
          <w:sz w:val="32"/>
          <w:szCs w:val="32"/>
        </w:rPr>
        <w:t>罚款</w:t>
      </w:r>
      <w:r>
        <w:rPr>
          <w:rFonts w:ascii="仿宋_GB2312" w:eastAsia="仿宋_GB2312" w:cs="仿宋_GB2312" w:hint="eastAsia"/>
          <w:sz w:val="32"/>
          <w:szCs w:val="32"/>
        </w:rPr>
        <w:t>7500</w:t>
      </w:r>
      <w:r>
        <w:rPr>
          <w:rFonts w:ascii="仿宋_GB2312" w:eastAsia="仿宋_GB2312" w:cs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073F8" w:rsidRDefault="00115B53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罚没款合计人民币</w:t>
      </w:r>
      <w:r>
        <w:rPr>
          <w:rFonts w:ascii="仿宋_GB2312" w:eastAsia="仿宋_GB2312" w:hint="eastAsia"/>
          <w:sz w:val="32"/>
          <w:szCs w:val="32"/>
        </w:rPr>
        <w:t>7560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（大写：</w:t>
      </w:r>
      <w:r>
        <w:rPr>
          <w:rFonts w:ascii="仿宋_GB2312" w:eastAsia="仿宋_GB2312"/>
          <w:sz w:val="32"/>
          <w:szCs w:val="32"/>
        </w:rPr>
        <w:t>柒仟伍佰陆拾</w:t>
      </w:r>
      <w:r>
        <w:rPr>
          <w:rFonts w:ascii="仿宋_GB2312" w:eastAsia="仿宋_GB2312" w:hint="eastAsia"/>
          <w:sz w:val="32"/>
          <w:szCs w:val="32"/>
        </w:rPr>
        <w:t>元）</w:t>
      </w:r>
      <w:r>
        <w:rPr>
          <w:rFonts w:ascii="仿宋_GB2312" w:eastAsia="仿宋_GB2312"/>
          <w:sz w:val="32"/>
          <w:szCs w:val="32"/>
        </w:rPr>
        <w:t>。</w:t>
      </w:r>
    </w:p>
    <w:p w:rsidR="007073F8" w:rsidRDefault="00115B53">
      <w:pPr>
        <w:spacing w:line="55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lastRenderedPageBreak/>
        <w:t>当事人应接到本处罚决定书之日起十五日内，到秦行金财支行（全称：秦皇岛市财政局，账号：</w:t>
      </w:r>
      <w:r>
        <w:rPr>
          <w:rFonts w:ascii="仿宋" w:eastAsia="仿宋" w:cs="仿宋" w:hint="eastAsia"/>
          <w:sz w:val="32"/>
          <w:szCs w:val="32"/>
        </w:rPr>
        <w:t>634013010000002150</w:t>
      </w:r>
      <w:r>
        <w:rPr>
          <w:rFonts w:ascii="仿宋" w:eastAsia="仿宋" w:cs="仿宋" w:hint="eastAsia"/>
          <w:sz w:val="32"/>
          <w:szCs w:val="32"/>
        </w:rPr>
        <w:t>）缴纳罚款；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罚没许可证副本编号：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07000005-1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，正本编号：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07000005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，</w:t>
      </w:r>
      <w:r>
        <w:rPr>
          <w:rFonts w:ascii="仿宋" w:eastAsia="仿宋" w:cs="仿宋" w:hint="eastAsia"/>
          <w:sz w:val="32"/>
          <w:szCs w:val="32"/>
        </w:rPr>
        <w:t>逾期不缴纳的，依据《中华人民共和国行政处罚法》第七十二条的规定，本局将每日按罚款数额的百分之三加处罚款，并依法申请人民法院强制执行。</w:t>
      </w:r>
    </w:p>
    <w:p w:rsidR="007073F8" w:rsidRDefault="00115B53">
      <w:pPr>
        <w:spacing w:line="56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如</w:t>
      </w:r>
      <w:r>
        <w:rPr>
          <w:rFonts w:ascii="仿宋" w:eastAsia="仿宋" w:cs="仿宋" w:hint="eastAsia"/>
          <w:sz w:val="32"/>
          <w:szCs w:val="32"/>
        </w:rPr>
        <w:t>当事人</w:t>
      </w:r>
      <w:r>
        <w:rPr>
          <w:rFonts w:ascii="仿宋" w:eastAsia="仿宋" w:cs="仿宋" w:hint="eastAsia"/>
          <w:sz w:val="32"/>
          <w:szCs w:val="32"/>
        </w:rPr>
        <w:t>不服本</w:t>
      </w:r>
      <w:r>
        <w:rPr>
          <w:rFonts w:ascii="仿宋" w:eastAsia="仿宋" w:cs="仿宋"/>
          <w:sz w:val="32"/>
          <w:szCs w:val="32"/>
        </w:rPr>
        <w:t>行政</w:t>
      </w:r>
      <w:r>
        <w:rPr>
          <w:rFonts w:ascii="仿宋" w:eastAsia="仿宋" w:cs="仿宋" w:hint="eastAsia"/>
          <w:sz w:val="32"/>
          <w:szCs w:val="32"/>
        </w:rPr>
        <w:t>处罚决定，可在接到本处罚决定书之日起六十日内，向秦皇岛市人民政府申请复议</w:t>
      </w:r>
      <w:r>
        <w:rPr>
          <w:rFonts w:ascii="仿宋" w:eastAsia="仿宋" w:cs="仿宋"/>
          <w:sz w:val="32"/>
          <w:szCs w:val="32"/>
        </w:rPr>
        <w:t>，</w:t>
      </w:r>
      <w:r>
        <w:rPr>
          <w:rFonts w:ascii="仿宋" w:eastAsia="仿宋" w:cs="仿宋" w:hint="eastAsia"/>
          <w:sz w:val="32"/>
          <w:szCs w:val="32"/>
        </w:rPr>
        <w:t>也可以在六个月内依法向海港区人民法院提起诉讼。申请行政复议或者提起行政诉讼期间，行政处罚不停止执行。</w:t>
      </w:r>
    </w:p>
    <w:p w:rsidR="007073F8" w:rsidRDefault="007073F8">
      <w:pPr>
        <w:wordWrap w:val="0"/>
        <w:snapToGrid w:val="0"/>
        <w:spacing w:line="520" w:lineRule="exact"/>
        <w:ind w:firstLineChars="1300" w:firstLine="4160"/>
        <w:rPr>
          <w:rFonts w:ascii="Times New Roman" w:eastAsia="仿宋_GB2312" w:hAnsi="Times New Roman" w:cs="仿宋"/>
          <w:sz w:val="32"/>
          <w:szCs w:val="32"/>
        </w:rPr>
      </w:pPr>
    </w:p>
    <w:p w:rsidR="007073F8" w:rsidRDefault="00115B53">
      <w:pPr>
        <w:wordWrap w:val="0"/>
        <w:snapToGrid w:val="0"/>
        <w:spacing w:line="520" w:lineRule="exact"/>
        <w:ind w:firstLineChars="1300" w:firstLine="416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秦皇岛市市场监督管理局</w:t>
      </w:r>
    </w:p>
    <w:p w:rsidR="007073F8" w:rsidRDefault="00115B53">
      <w:pPr>
        <w:wordWrap w:val="0"/>
        <w:snapToGrid w:val="0"/>
        <w:spacing w:line="520" w:lineRule="exact"/>
        <w:ind w:left="5602"/>
        <w:jc w:val="right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（印章）</w:t>
      </w:r>
    </w:p>
    <w:p w:rsidR="007073F8" w:rsidRDefault="00115B53">
      <w:pPr>
        <w:wordWrap w:val="0"/>
        <w:snapToGrid w:val="0"/>
        <w:spacing w:line="520" w:lineRule="exact"/>
        <w:ind w:firstLine="640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202</w:t>
      </w:r>
      <w:r>
        <w:rPr>
          <w:rFonts w:ascii="Times New Roman" w:eastAsia="仿宋_GB2312" w:hAnsi="Times New Roman" w:cs="仿宋"/>
          <w:sz w:val="32"/>
          <w:szCs w:val="32"/>
        </w:rPr>
        <w:t xml:space="preserve">4 </w:t>
      </w:r>
      <w:r>
        <w:rPr>
          <w:rFonts w:ascii="Times New Roman" w:eastAsia="仿宋_GB2312" w:hAnsi="Times New Roman" w:cs="仿宋" w:hint="eastAsia"/>
          <w:sz w:val="32"/>
          <w:szCs w:val="32"/>
        </w:rPr>
        <w:t>年</w:t>
      </w:r>
      <w:r>
        <w:rPr>
          <w:rFonts w:ascii="Times New Roman" w:eastAsia="仿宋_GB2312" w:hAnsi="Times New Roman" w:cs="仿宋"/>
          <w:sz w:val="32"/>
          <w:szCs w:val="32"/>
        </w:rPr>
        <w:t>7</w:t>
      </w:r>
      <w:r>
        <w:rPr>
          <w:rFonts w:ascii="Times New Roman" w:eastAsia="仿宋_GB2312" w:hAnsi="Times New Roman" w:cs="仿宋" w:hint="eastAsia"/>
          <w:sz w:val="32"/>
          <w:szCs w:val="32"/>
        </w:rPr>
        <w:t>月</w:t>
      </w:r>
      <w:r>
        <w:rPr>
          <w:rFonts w:ascii="Times New Roman" w:eastAsia="仿宋_GB2312" w:hAnsi="Times New Roman" w:cs="仿宋"/>
          <w:sz w:val="32"/>
          <w:szCs w:val="32"/>
        </w:rPr>
        <w:t>22</w:t>
      </w:r>
      <w:bookmarkStart w:id="0" w:name="_GoBack"/>
      <w:bookmarkEnd w:id="0"/>
      <w:r>
        <w:rPr>
          <w:rFonts w:ascii="Times New Roman" w:eastAsia="仿宋_GB2312" w:hAnsi="Times New Roman" w:cs="仿宋" w:hint="eastAsia"/>
          <w:sz w:val="32"/>
          <w:szCs w:val="32"/>
        </w:rPr>
        <w:t xml:space="preserve">日　</w:t>
      </w:r>
    </w:p>
    <w:p w:rsidR="007073F8" w:rsidRDefault="007073F8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7073F8" w:rsidRDefault="007073F8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7073F8" w:rsidRDefault="007073F8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7073F8" w:rsidRDefault="007073F8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7073F8" w:rsidRDefault="007073F8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7073F8" w:rsidRDefault="007073F8">
      <w:pPr>
        <w:wordWrap w:val="0"/>
        <w:snapToGrid w:val="0"/>
        <w:spacing w:line="520" w:lineRule="exact"/>
        <w:rPr>
          <w:rFonts w:ascii="Times New Roman" w:eastAsia="仿宋_GB2312" w:hAnsi="Times New Roman" w:cs="仿宋"/>
          <w:b/>
          <w:bCs/>
          <w:sz w:val="32"/>
          <w:szCs w:val="32"/>
        </w:rPr>
      </w:pPr>
    </w:p>
    <w:p w:rsidR="007073F8" w:rsidRDefault="00115B53" w:rsidP="00A72EF0">
      <w:pPr>
        <w:wordWrap w:val="0"/>
        <w:snapToGrid w:val="0"/>
        <w:spacing w:line="520" w:lineRule="exact"/>
        <w:ind w:leftChars="-95" w:left="-199" w:rightChars="-149" w:right="-313" w:firstLineChars="62" w:firstLine="199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（市场监督管理部门将依法向社会进行公示本行政处罚信息）</w:t>
      </w:r>
    </w:p>
    <w:p w:rsidR="007073F8" w:rsidRDefault="007073F8">
      <w:pPr>
        <w:wordWrap w:val="0"/>
        <w:spacing w:line="520" w:lineRule="exact"/>
        <w:rPr>
          <w:rFonts w:ascii="Times New Roman" w:eastAsia="仿宋_GB2312" w:hAnsi="Times New Roman" w:cs="仿宋"/>
          <w:bCs/>
          <w:sz w:val="32"/>
          <w:szCs w:val="32"/>
        </w:rPr>
      </w:pPr>
      <w:r w:rsidRPr="007073F8">
        <w:pict>
          <v:line id="_x0000_s1027 4" o:spid="_x0000_s1027" style="position:absolute;left:0;text-align:left;z-index:16;visibility:visible;mso-wrap-distance-left:3.17494mm;mso-wrap-distance-right:3.17494mm" from="2.25pt,13.55pt" to="439.3pt,13.65pt#_x0000_t20" strokeweight="1.25pt"/>
        </w:pict>
      </w:r>
    </w:p>
    <w:p w:rsidR="007073F8" w:rsidRDefault="007073F8">
      <w:pPr>
        <w:wordWrap w:val="0"/>
        <w:spacing w:line="520" w:lineRule="exact"/>
        <w:ind w:firstLineChars="100" w:firstLine="210"/>
        <w:rPr>
          <w:rFonts w:ascii="Times New Roman" w:eastAsia="仿宋_GB2312" w:hAnsi="Times New Roman" w:cs="仿宋"/>
          <w:sz w:val="32"/>
          <w:szCs w:val="32"/>
        </w:rPr>
      </w:pPr>
      <w:r w:rsidRPr="007073F8">
        <w:pict>
          <v:line id="_x0000_s1028 6" o:spid="_x0000_s1026" style="position:absolute;left:0;text-align:left;z-index:18;visibility:visible;mso-wrap-distance-left:3.17494mm;mso-wrap-distance-right:3.17494mm" from="0,1638.35pt" to="453.75pt,1638.45pt#_x0000_t20" strokeweight=".26mm"/>
        </w:pict>
      </w:r>
      <w:r w:rsidR="00115B53">
        <w:rPr>
          <w:rFonts w:ascii="Times New Roman" w:eastAsia="仿宋_GB2312" w:hAnsi="Times New Roman" w:cs="仿宋" w:hint="eastAsia"/>
          <w:sz w:val="32"/>
          <w:szCs w:val="32"/>
        </w:rPr>
        <w:t>本文书一式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>四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115B53">
        <w:rPr>
          <w:rFonts w:ascii="Times New Roman" w:eastAsia="仿宋_GB2312" w:hAnsi="Times New Roman" w:cs="仿宋" w:hint="eastAsia"/>
          <w:sz w:val="32"/>
          <w:szCs w:val="32"/>
        </w:rPr>
        <w:t>份，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>一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115B53">
        <w:rPr>
          <w:rFonts w:ascii="Times New Roman" w:eastAsia="仿宋_GB2312" w:hAnsi="Times New Roman" w:cs="仿宋" w:hint="eastAsia"/>
          <w:sz w:val="32"/>
          <w:szCs w:val="32"/>
        </w:rPr>
        <w:t>份送达，一份归档，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>两份备查</w:t>
      </w:r>
      <w:r w:rsidR="00115B53">
        <w:rPr>
          <w:rFonts w:ascii="Times New Roman" w:eastAsia="仿宋_GB2312" w:hAnsi="Times New Roman" w:cs="仿宋"/>
          <w:sz w:val="32"/>
          <w:szCs w:val="32"/>
          <w:u w:val="single"/>
        </w:rPr>
        <w:t xml:space="preserve"> </w:t>
      </w:r>
      <w:r w:rsidR="00115B53">
        <w:rPr>
          <w:rFonts w:ascii="Times New Roman" w:eastAsia="仿宋_GB2312" w:hAnsi="Times New Roman" w:cs="仿宋" w:hint="eastAsia"/>
          <w:sz w:val="32"/>
          <w:szCs w:val="32"/>
        </w:rPr>
        <w:t>。</w:t>
      </w:r>
    </w:p>
    <w:sectPr w:rsidR="007073F8" w:rsidSect="007073F8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53" w:rsidRDefault="00115B53" w:rsidP="007073F8">
      <w:r>
        <w:separator/>
      </w:r>
    </w:p>
  </w:endnote>
  <w:endnote w:type="continuationSeparator" w:id="1">
    <w:p w:rsidR="00115B53" w:rsidRDefault="00115B53" w:rsidP="0070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F8" w:rsidRDefault="00115B53">
    <w:pPr>
      <w:pStyle w:val="a5"/>
      <w:rPr>
        <w:rFonts w:ascii="宋体"/>
        <w:sz w:val="28"/>
      </w:rPr>
    </w:pPr>
    <w:r>
      <w:rPr>
        <w:rFonts w:ascii="宋体"/>
        <w:sz w:val="28"/>
      </w:rPr>
      <w:t xml:space="preserve">- </w:t>
    </w:r>
    <w:r w:rsidR="007073F8"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</w:instrText>
    </w:r>
    <w:r w:rsidR="007073F8">
      <w:rPr>
        <w:rFonts w:ascii="宋体"/>
        <w:sz w:val="28"/>
      </w:rPr>
      <w:fldChar w:fldCharType="separate"/>
    </w:r>
    <w:r>
      <w:rPr>
        <w:rFonts w:ascii="宋体"/>
        <w:sz w:val="28"/>
      </w:rPr>
      <w:t>2</w:t>
    </w:r>
    <w:r w:rsidR="007073F8"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F8" w:rsidRDefault="00115B53">
    <w:pPr>
      <w:pStyle w:val="a5"/>
      <w:wordWrap w:val="0"/>
      <w:jc w:val="right"/>
      <w:rPr>
        <w:rFonts w:ascii="宋体"/>
        <w:sz w:val="28"/>
      </w:rPr>
    </w:pPr>
    <w:r>
      <w:rPr>
        <w:rFonts w:ascii="宋体"/>
        <w:kern w:val="0"/>
        <w:sz w:val="28"/>
        <w:szCs w:val="21"/>
      </w:rPr>
      <w:t xml:space="preserve">- </w:t>
    </w:r>
    <w:r w:rsidR="007073F8">
      <w:rPr>
        <w:rFonts w:ascii="宋体"/>
        <w:kern w:val="0"/>
        <w:sz w:val="28"/>
        <w:szCs w:val="21"/>
      </w:rPr>
      <w:fldChar w:fldCharType="begin"/>
    </w:r>
    <w:r>
      <w:rPr>
        <w:rFonts w:ascii="宋体"/>
        <w:kern w:val="0"/>
        <w:sz w:val="28"/>
        <w:szCs w:val="21"/>
      </w:rPr>
      <w:instrText xml:space="preserve"> PAGE </w:instrText>
    </w:r>
    <w:r w:rsidR="007073F8">
      <w:rPr>
        <w:rFonts w:ascii="宋体"/>
        <w:kern w:val="0"/>
        <w:sz w:val="28"/>
        <w:szCs w:val="21"/>
      </w:rPr>
      <w:fldChar w:fldCharType="separate"/>
    </w:r>
    <w:r w:rsidR="00A72EF0">
      <w:rPr>
        <w:rFonts w:ascii="宋体"/>
        <w:noProof/>
        <w:kern w:val="0"/>
        <w:sz w:val="28"/>
        <w:szCs w:val="21"/>
      </w:rPr>
      <w:t>1</w:t>
    </w:r>
    <w:r w:rsidR="007073F8">
      <w:rPr>
        <w:rFonts w:ascii="宋体"/>
        <w:kern w:val="0"/>
        <w:sz w:val="28"/>
        <w:szCs w:val="21"/>
      </w:rPr>
      <w:fldChar w:fldCharType="end"/>
    </w:r>
    <w:r>
      <w:rPr>
        <w:rFonts w:ascii="宋体"/>
        <w:kern w:val="0"/>
        <w:sz w:val="28"/>
        <w:szCs w:val="21"/>
      </w:rPr>
      <w:t xml:space="preserve"> -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53" w:rsidRDefault="00115B53" w:rsidP="007073F8">
      <w:r>
        <w:separator/>
      </w:r>
    </w:p>
  </w:footnote>
  <w:footnote w:type="continuationSeparator" w:id="1">
    <w:p w:rsidR="00115B53" w:rsidRDefault="00115B53" w:rsidP="00707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F8" w:rsidRDefault="007073F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</w:compat>
  <w:docVars>
    <w:docVar w:name="commondata" w:val="eyJoZGlkIjoiNTgzNDQ0ZjFhYjQ5NzM3MThiMmQ4YzdjNjlmMmZhYzQifQ=="/>
    <w:docVar w:name="KSO_WPS_MARK_KEY" w:val="168fe735-02c3-487c-ad56-37cb76a3526c"/>
  </w:docVars>
  <w:rsids>
    <w:rsidRoot w:val="007073F8"/>
    <w:rsid w:val="00115B53"/>
    <w:rsid w:val="007073F8"/>
    <w:rsid w:val="00A7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3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7073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7073F8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7073F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73F8"/>
    <w:pPr>
      <w:ind w:leftChars="2500" w:left="2500"/>
    </w:pPr>
    <w:rPr>
      <w:rFonts w:ascii="Times New Roman" w:hAnsi="Times New Roman"/>
      <w:sz w:val="24"/>
    </w:rPr>
  </w:style>
  <w:style w:type="paragraph" w:styleId="a4">
    <w:name w:val="Balloon Text"/>
    <w:basedOn w:val="a"/>
    <w:rsid w:val="007073F8"/>
    <w:rPr>
      <w:rFonts w:ascii="Times New Roman" w:hAnsi="Times New Roman"/>
      <w:sz w:val="18"/>
      <w:szCs w:val="18"/>
    </w:rPr>
  </w:style>
  <w:style w:type="paragraph" w:styleId="a5">
    <w:name w:val="footer"/>
    <w:basedOn w:val="a"/>
    <w:rsid w:val="007073F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rsid w:val="00707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rsid w:val="007073F8"/>
    <w:rPr>
      <w:kern w:val="2"/>
      <w:sz w:val="18"/>
    </w:rPr>
  </w:style>
  <w:style w:type="character" w:customStyle="1" w:styleId="DateChar">
    <w:name w:val="Date Char"/>
    <w:rsid w:val="007073F8"/>
    <w:rPr>
      <w:kern w:val="2"/>
      <w:sz w:val="24"/>
    </w:rPr>
  </w:style>
  <w:style w:type="character" w:customStyle="1" w:styleId="ca-5">
    <w:name w:val="ca-5"/>
    <w:basedOn w:val="a0"/>
    <w:rsid w:val="007073F8"/>
    <w:rPr>
      <w:rFonts w:cs="Times New Roman"/>
    </w:rPr>
  </w:style>
  <w:style w:type="character" w:customStyle="1" w:styleId="ca-6">
    <w:name w:val="ca-6"/>
    <w:basedOn w:val="a0"/>
    <w:rsid w:val="007073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383</Words>
  <Characters>2189</Characters>
  <Application>Microsoft Office Word</Application>
  <DocSecurity>0</DocSecurity>
  <Lines>18</Lines>
  <Paragraphs>5</Paragraphs>
  <ScaleCrop>false</ScaleCrop>
  <Company>china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秦皇岛市工商行政管理局</dc:title>
  <dc:creator>bgs</dc:creator>
  <cp:lastModifiedBy>王宇</cp:lastModifiedBy>
  <cp:revision>64</cp:revision>
  <cp:lastPrinted>2024-07-24T07:22:00Z</cp:lastPrinted>
  <dcterms:created xsi:type="dcterms:W3CDTF">2016-06-03T03:42:00Z</dcterms:created>
  <dcterms:modified xsi:type="dcterms:W3CDTF">2024-07-30T08:46:00Z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889439F2C61D40C5B98ED36A9ACF91B9_12</vt:lpwstr>
  </property>
</Properties>
</file>