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039</w:t>
      </w:r>
      <w:r>
        <w:rPr>
          <w:rFonts w:hint="eastAsia" w:ascii="仿宋" w:hAnsi="仿宋" w:eastAsia="仿宋" w:cs="宋体"/>
          <w:color w:val="auto"/>
          <w:sz w:val="32"/>
          <w:szCs w:val="32"/>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0" w:name="_GoBack"/>
      <w:r>
        <w:rPr>
          <w:rFonts w:hint="eastAsia" w:ascii="仿宋" w:hAnsi="仿宋" w:eastAsia="仿宋" w:cs="仿宋"/>
          <w:bCs/>
          <w:sz w:val="32"/>
          <w:szCs w:val="32"/>
          <w:lang w:val="en-US" w:eastAsia="zh-CN"/>
        </w:rPr>
        <w:t>开发区聚宁快餐店</w:t>
      </w:r>
      <w:bookmarkEnd w:id="0"/>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仿宋"/>
          <w:bCs/>
          <w:sz w:val="32"/>
          <w:szCs w:val="32"/>
          <w:lang w:val="en-US" w:eastAsia="zh-CN"/>
        </w:rPr>
        <w:t>92130301MACXQ7M855</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仿宋"/>
          <w:bCs/>
          <w:sz w:val="32"/>
          <w:szCs w:val="32"/>
          <w:lang w:val="en-US" w:eastAsia="zh-CN"/>
        </w:rPr>
        <w:t xml:space="preserve">秦皇岛开发区珠江道街道昌孟市场外两层4号一楼东侧；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仿宋"/>
          <w:bCs/>
          <w:sz w:val="32"/>
          <w:szCs w:val="32"/>
          <w:lang w:val="en-US" w:eastAsia="zh-CN"/>
        </w:rPr>
        <w:t>张中敏</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仿宋"/>
          <w:bCs/>
          <w:sz w:val="32"/>
          <w:szCs w:val="32"/>
          <w:lang w:val="en-US" w:eastAsia="zh-CN"/>
        </w:rPr>
        <w:t xml:space="preserve">13062719********** </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6月14日，本局接到检验报告（№:ZD2024SP05116F）后，指派两名执法人员为当事人送达了该检验报告，并对其位于秦皇岛开发区珠江道街道昌孟市场外两层4号一楼东侧的经营场所进行了现场检查，经营者张中敏现场配合检查工作签收了上述检验报告，并提供了当事人营业执照等相关证明资料。当事人对上述检验报告及其检验结论予以认可，未提出异议。为进一步调查案情，经分局部门负责人批准，本局于2024年6月18日予以立案调查。</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经查：当事人类型属于个体工商户，经营类型属于小餐饮。2024年5月17日，秦皇岛市市场监督管理局经济技术开发区分局委托河北智德检验检测股份有限公司对当事人经营的“驴肉火烧”（食品名称：驴肉火烧，商标：/，规格型号：计量称重，加工日期：2024-05-17，标称生产者名称: /, 被抽样单位名称：开发区聚宁快餐店，联系电话：13293182607 ，抽样日期：2024-05-17，样品数量：0.58kg。）进行了食品安全风险监测，2024年6月6日出具了检验报告（№:ZD2024SP05116F）；检验项目名称：驴源性成分鉴定，计量单位：/，参考值：检出，实测值：检出，检验依据：SN/T 3730.4-2013；马源性成分鉴定，计量单位：/，参考值：不得检出，实测值：检出，检验依据：SN/T 3730.5-2013；猪源性成分鉴定，计量单位：/，参考值：不得检出，实测值：未检出（检出限：1%质量分数），检验依据：GB/T 38164-2019；问题项目：马源性成分鉴定。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2024年5月7日，当事人由河北省食有余食品加工有限公司购进“熟驴肉”数量：15公斤，进货价格：160元/公斤，进货金额：2400元。当事人提供了所采购的该批次“熟驴肉”的供货者营业执照、食品生产许可证、销售出库单；说明了其进货来源。当事人无法提供采购该批次“熟驴肉”的出厂检验合格证明等相关证明资料。鉴于当事人的上述行为，本局向当事人下达了《责令改正通知书》（秦市监责改〔2024〕综45号），责令当事人在2024年6月20日前改正。2024年6月15日，当事人向本局提交了整改报告，对开展经营活动中存在的上述问题进行了改正。                                   </w:t>
      </w:r>
    </w:p>
    <w:p>
      <w:pPr>
        <w:ind w:right="233" w:rightChars="111" w:firstLine="640" w:firstLineChars="200"/>
        <w:jc w:val="left"/>
        <w:rPr>
          <w:rFonts w:ascii="仿宋" w:hAnsi="仿宋" w:eastAsia="仿宋" w:cs="宋体"/>
          <w:b/>
          <w:bCs/>
          <w:color w:val="000000"/>
          <w:sz w:val="32"/>
          <w:szCs w:val="32"/>
        </w:rPr>
      </w:pPr>
      <w:r>
        <w:rPr>
          <w:rFonts w:hint="eastAsia" w:ascii="仿宋" w:hAnsi="仿宋" w:eastAsia="仿宋" w:cs="仿宋"/>
          <w:bCs/>
          <w:sz w:val="32"/>
          <w:szCs w:val="32"/>
          <w:lang w:val="en-US" w:eastAsia="zh-CN"/>
        </w:rPr>
        <w:t xml:space="preserve">当事人将所采购的该批次“熟驴肉”作为其加工“驴肉火烧”的辅料使用，未直接对外销售。当事人加工“驴肉火烧”使用该批次“熟驴肉”数量：50克/个，共使用该批次“熟驴肉”作为辅料加工“驴肉火烧”数量：300个，销售价格：12元/个。当事人使用的该批次“熟驴肉”在“驴肉火烧”销售金额（12元/个）中，所占金额为：8元/个。截止2024年6月14日被查，当事人采购的该批次“熟驴肉”已作为加工上述“驴肉火烧”的辅料全部经营使用，无库存。当事人使用该批次“熟驴肉”所加工的上述“驴肉火烧”已全部售出，无库存。经计算，当事人经营的该批次“熟驴肉”的货值金额：2400元，违法所得：2400元。2024年6月14日，当事人在经营场所对售出的上述“驴肉火烧”进行了公告召回，由于上述食品销售时间过长等原因，当事人经营的上述“驴肉火烧”未能召回。                       </w:t>
      </w:r>
      <w:r>
        <w:rPr>
          <w:rFonts w:hint="eastAsia" w:ascii="仿宋" w:hAnsi="仿宋" w:eastAsia="仿宋" w:cs="宋体"/>
          <w:b/>
          <w:bCs/>
          <w:color w:val="000000"/>
          <w:sz w:val="32"/>
          <w:szCs w:val="32"/>
        </w:rPr>
        <w:t>上述事实，主要有以下证据证明：</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1.当事人经营者张中敏签字盖章确认的当事人营业执照、食品小作坊小餐饮登记证、经营者张中敏身份证复印件各一份；证明了当事人的基本信息以及经营者自然人身份信息等相关事项。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对当事人经营场所现场检查笔录一份；现场检查照片打印件五份；对当事人经营者张中敏所做询问笔录二份；食品召回公告一份；证明了当事人未按规定建立进货查验记录制度与在驴肉中掺杂马肉开展经营活动的违法事实、违法经营食品货值金额、违法所得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3.对当事人下达的检验报告一份；证明了对当事人所经营的“驴肉火烧”进行食品安全风险监测以及该批次食品存在在驴肉中掺杂马肉的真实性等相关事项。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4. 当事人提供的该批次“熟驴肉”的供货者营业执照、食品生产许可证、销售出库单复印件各一份；证明了当事人采购该批次“熟驴肉”进货渠道等相关事项。                              </w:t>
      </w:r>
    </w:p>
    <w:p>
      <w:pPr>
        <w:ind w:right="233" w:rightChars="111"/>
        <w:jc w:val="left"/>
        <w:rPr>
          <w:rFonts w:ascii="Times New Roman" w:hAnsi="??_GB2312" w:eastAsia="Times New Roman" w:cs="??_GB2312"/>
          <w:sz w:val="32"/>
          <w:szCs w:val="32"/>
        </w:rPr>
      </w:pPr>
      <w:r>
        <w:rPr>
          <w:rFonts w:hint="eastAsia" w:ascii="仿宋" w:hAnsi="仿宋" w:eastAsia="仿宋" w:cs="仿宋"/>
          <w:bCs/>
          <w:sz w:val="32"/>
          <w:szCs w:val="32"/>
          <w:lang w:val="en-US" w:eastAsia="zh-CN"/>
        </w:rPr>
        <w:t xml:space="preserve">5. 对当事人下达的《责令改正通知书》一份；当事人整改报告一份；证明了本局对当事人未按规定建立进货查验记录制度的违法行为进行责令限期改正以及当事人进行改正的相关事项。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pPr>
        <w:spacing w:line="520" w:lineRule="exact"/>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6</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28</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w:t>
      </w:r>
      <w:r>
        <w:rPr>
          <w:rFonts w:hint="eastAsia" w:ascii="仿宋" w:hAnsi="仿宋" w:eastAsia="仿宋" w:cs="宋体"/>
          <w:bCs/>
          <w:color w:val="auto"/>
          <w:sz w:val="32"/>
          <w:szCs w:val="32"/>
          <w:lang w:val="en-US" w:eastAsia="zh-CN"/>
        </w:rPr>
        <w:t>1039</w:t>
      </w:r>
      <w:r>
        <w:rPr>
          <w:rFonts w:hint="eastAsia" w:ascii="仿宋" w:hAnsi="仿宋" w:eastAsia="仿宋" w:cs="宋体"/>
          <w:bCs/>
          <w:color w:val="auto"/>
          <w:sz w:val="32"/>
          <w:szCs w:val="32"/>
        </w:rPr>
        <w:t>号），告知了本局拟作出行政处罚的内容及事实、理由、依据，当事人自收到该告知书之日起五个工作日内未行使陈述、申辩权，未要求听证。</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本局认为，当事人的上述行为违反了《中华人民共和国食品安全法》第三十四条第（六）项：“禁止生产经营下列食品、食品添加剂、食品相关产品： （六）腐败变质、油脂酸败、霉变生虫、污秽不洁、混有异物、掺假掺杂或者感官性状异常的食品、食品添加剂；”、第五十三条第一款：“食品经营者采购食品，应当查验供货者的许可证和食品出厂检验合格证或者其他合格证明（以下称合格证明文件）。”、《河北省食品小作坊小餐饮小摊点管理条例》第十五条第一款：“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第二十七条：“小餐饮不得经营裱花蛋糕、生食水产品以及法律、法规禁止经营的其他食品。”的规定，属于未按规定建立进货查验记录制度与在驴肉中掺杂马肉开展经营活动的违法行为</w:t>
      </w:r>
      <w:r>
        <w:rPr>
          <w:rFonts w:hint="eastAsia" w:ascii="仿宋" w:hAnsi="仿宋" w:eastAsia="仿宋" w:cs="宋体"/>
          <w:bCs/>
          <w:color w:val="auto"/>
          <w:sz w:val="32"/>
          <w:szCs w:val="32"/>
        </w:rPr>
        <w:t xml:space="preserve">。  </w:t>
      </w:r>
      <w:r>
        <w:rPr>
          <w:rFonts w:hint="eastAsia" w:ascii="仿宋" w:hAnsi="仿宋" w:eastAsia="仿宋" w:cs="宋体"/>
          <w:bCs/>
          <w:color w:val="000000"/>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520" w:lineRule="exact"/>
        <w:ind w:firstLine="640" w:firstLineChars="200"/>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当事人未按规定建立进货查验记录制度与在驴肉中掺杂马肉开展经营活动的违法行为违反了《中华人民共和国食品安全法》第三十四条第（六）项、五十三条第一款、《河北省食品小作坊小餐饮小摊点管理条例》第十五条第一款、第二十七条的规定，依据《河北省食品小作坊小餐饮小摊点管理条例》第五十条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w:t>
      </w:r>
    </w:p>
    <w:p>
      <w:pPr>
        <w:spacing w:line="520" w:lineRule="exact"/>
        <w:ind w:firstLine="640" w:firstLineChars="200"/>
        <w:jc w:val="left"/>
        <w:rPr>
          <w:rFonts w:ascii="仿宋" w:hAnsi="仿宋" w:eastAsia="仿宋" w:cs="楷体_GB2312"/>
          <w:bCs/>
          <w:color w:val="000000"/>
          <w:sz w:val="32"/>
          <w:szCs w:val="32"/>
        </w:rPr>
      </w:pPr>
      <w:r>
        <w:rPr>
          <w:rFonts w:hint="eastAsia" w:ascii="仿宋" w:hAnsi="仿宋" w:eastAsia="仿宋" w:cs="宋体"/>
          <w:bCs/>
          <w:color w:val="auto"/>
          <w:sz w:val="32"/>
          <w:szCs w:val="32"/>
          <w:lang w:val="en-US" w:eastAsia="zh-CN"/>
        </w:rPr>
        <w:t xml:space="preserve">结合案件实际情况，经综合考量给予当事人从轻行政处罚。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520" w:lineRule="exact"/>
        <w:ind w:firstLine="640" w:firstLineChars="200"/>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综上，对当事人未按规定建立进货查验记录制度与在驴肉中掺杂马肉开展经营活动的违法行为，依据《中华人民共和国食品安全法》第一百二十七条：“对食品生产加工小作坊、食品摊贩等的违法行为的处罚，依照省、自治区、直辖市制定的具体管理办法执行。”、《河北省食品小作坊小餐饮小摊点管理条例》第五十条：“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的规定，参照《河北省市场监督管理系统行政处罚裁量权适用规则》第十五条第（二）项的规定，责令当事人改正上述违法行为，并决定处罚如下 ：</w:t>
      </w:r>
    </w:p>
    <w:p>
      <w:pPr>
        <w:numPr>
          <w:ilvl w:val="0"/>
          <w:numId w:val="0"/>
        </w:numPr>
        <w:spacing w:line="520" w:lineRule="exact"/>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 xml:space="preserve">1、没收违法所得：人民币贰仟肆佰元整（2400元）；                                              </w:t>
      </w:r>
    </w:p>
    <w:p>
      <w:pPr>
        <w:numPr>
          <w:ilvl w:val="0"/>
          <w:numId w:val="0"/>
        </w:numPr>
        <w:spacing w:line="520" w:lineRule="exact"/>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 xml:space="preserve">2、罚款：人民币伍仟壹佰元整（5100元）；                               </w:t>
      </w:r>
    </w:p>
    <w:p>
      <w:pPr>
        <w:numPr>
          <w:ilvl w:val="0"/>
          <w:numId w:val="0"/>
        </w:numPr>
        <w:spacing w:line="520" w:lineRule="exact"/>
        <w:jc w:val="left"/>
        <w:rPr>
          <w:rFonts w:ascii="仿宋" w:hAnsi="仿宋" w:eastAsia="仿宋" w:cs="宋体"/>
          <w:sz w:val="32"/>
          <w:szCs w:val="32"/>
        </w:rPr>
      </w:pPr>
      <w:r>
        <w:rPr>
          <w:rFonts w:hint="eastAsia" w:ascii="仿宋" w:hAnsi="仿宋" w:eastAsia="仿宋" w:cs="宋体"/>
          <w:bCs/>
          <w:color w:val="auto"/>
          <w:sz w:val="32"/>
          <w:szCs w:val="32"/>
          <w:lang w:val="en-US" w:eastAsia="zh-CN"/>
        </w:rPr>
        <w:t xml:space="preserve"> 上述行政处罚合计：人民币柒仟伍佰元整（7500元）。                  </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auto"/>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8</w:t>
      </w:r>
      <w:r>
        <w:rPr>
          <w:rFonts w:hint="eastAsia" w:ascii="仿宋" w:hAnsi="仿宋" w:eastAsia="仿宋" w:cs="宋体"/>
          <w:color w:val="auto"/>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9" o:spid="_x0000_s1029" o:spt="20" style="position:absolute;left:0pt;margin-left:12.05pt;margin-top:11.8pt;height:0.05pt;width:437.05pt;z-index:251662336;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30" o:spid="_x0000_s1030" o:spt="20" style="position:absolute;left:0pt;margin-left:0pt;margin-top:1638.35pt;height:0.1pt;width:453.75pt;z-index:251663360;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p>
      <w:pPr>
        <w:wordWrap w:val="0"/>
        <w:spacing w:line="520" w:lineRule="exact"/>
        <w:rPr>
          <w:rFonts w:asciiTheme="minorEastAsia" w:hAnsiTheme="minorEastAsia" w:cstheme="minorEastAsia"/>
          <w:sz w:val="32"/>
          <w:szCs w:val="32"/>
        </w:rPr>
      </w:pP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41C3410"/>
    <w:rsid w:val="04F43D6F"/>
    <w:rsid w:val="05CD3FD8"/>
    <w:rsid w:val="06782196"/>
    <w:rsid w:val="09E94680"/>
    <w:rsid w:val="0A1D552E"/>
    <w:rsid w:val="0B084B61"/>
    <w:rsid w:val="0C821E59"/>
    <w:rsid w:val="0D272220"/>
    <w:rsid w:val="0D4B051E"/>
    <w:rsid w:val="0EFE2AE5"/>
    <w:rsid w:val="0FFE2269"/>
    <w:rsid w:val="1326357C"/>
    <w:rsid w:val="136E2957"/>
    <w:rsid w:val="16051582"/>
    <w:rsid w:val="17152542"/>
    <w:rsid w:val="18F14FE3"/>
    <w:rsid w:val="1967313B"/>
    <w:rsid w:val="1A7C56B4"/>
    <w:rsid w:val="1B9431FB"/>
    <w:rsid w:val="1CD667D0"/>
    <w:rsid w:val="1D0D29CF"/>
    <w:rsid w:val="1D162491"/>
    <w:rsid w:val="1E937BB8"/>
    <w:rsid w:val="1ECA1AC6"/>
    <w:rsid w:val="20522F5E"/>
    <w:rsid w:val="221D3B45"/>
    <w:rsid w:val="23627A12"/>
    <w:rsid w:val="237635F6"/>
    <w:rsid w:val="27FC6C7E"/>
    <w:rsid w:val="28707897"/>
    <w:rsid w:val="2932059A"/>
    <w:rsid w:val="2AE8528D"/>
    <w:rsid w:val="2B5F1D03"/>
    <w:rsid w:val="2CA473E3"/>
    <w:rsid w:val="2CE02D8A"/>
    <w:rsid w:val="30236985"/>
    <w:rsid w:val="30A763AA"/>
    <w:rsid w:val="319C292D"/>
    <w:rsid w:val="322F2560"/>
    <w:rsid w:val="338024EF"/>
    <w:rsid w:val="34C324BE"/>
    <w:rsid w:val="350C42EE"/>
    <w:rsid w:val="359605E4"/>
    <w:rsid w:val="38A72FFF"/>
    <w:rsid w:val="39C742BF"/>
    <w:rsid w:val="3A1C272D"/>
    <w:rsid w:val="3B2F036E"/>
    <w:rsid w:val="3B54045B"/>
    <w:rsid w:val="3D6A7D83"/>
    <w:rsid w:val="3ED643B0"/>
    <w:rsid w:val="41B234F8"/>
    <w:rsid w:val="43592C00"/>
    <w:rsid w:val="44612D2C"/>
    <w:rsid w:val="45BC42A2"/>
    <w:rsid w:val="4711663E"/>
    <w:rsid w:val="47DB5022"/>
    <w:rsid w:val="49F02912"/>
    <w:rsid w:val="4BB83A15"/>
    <w:rsid w:val="4C826202"/>
    <w:rsid w:val="4D0E4C96"/>
    <w:rsid w:val="4E5A5650"/>
    <w:rsid w:val="50E73DB5"/>
    <w:rsid w:val="50F7329A"/>
    <w:rsid w:val="52A54CC8"/>
    <w:rsid w:val="52E22C40"/>
    <w:rsid w:val="5386726D"/>
    <w:rsid w:val="558A777C"/>
    <w:rsid w:val="573F593B"/>
    <w:rsid w:val="57513011"/>
    <w:rsid w:val="5AF921BF"/>
    <w:rsid w:val="5B480E52"/>
    <w:rsid w:val="5C5869BC"/>
    <w:rsid w:val="5CCC4F24"/>
    <w:rsid w:val="5E877FEF"/>
    <w:rsid w:val="5F9C5F6A"/>
    <w:rsid w:val="60056957"/>
    <w:rsid w:val="61990FB0"/>
    <w:rsid w:val="62C84A71"/>
    <w:rsid w:val="63384043"/>
    <w:rsid w:val="652E4ACF"/>
    <w:rsid w:val="658C7E67"/>
    <w:rsid w:val="66012FEB"/>
    <w:rsid w:val="66104FB5"/>
    <w:rsid w:val="665552C7"/>
    <w:rsid w:val="675853C5"/>
    <w:rsid w:val="6836188A"/>
    <w:rsid w:val="69C95843"/>
    <w:rsid w:val="6AFA17C4"/>
    <w:rsid w:val="6BF55FC2"/>
    <w:rsid w:val="6C821056"/>
    <w:rsid w:val="6E475782"/>
    <w:rsid w:val="6E783501"/>
    <w:rsid w:val="6FCF30CF"/>
    <w:rsid w:val="709D2F56"/>
    <w:rsid w:val="71B4761C"/>
    <w:rsid w:val="73011F50"/>
    <w:rsid w:val="74EA5B80"/>
    <w:rsid w:val="761104DE"/>
    <w:rsid w:val="79444B4F"/>
    <w:rsid w:val="7A1C4ECC"/>
    <w:rsid w:val="7C6D30E8"/>
    <w:rsid w:val="7D9A64D2"/>
    <w:rsid w:val="7E5F4B53"/>
    <w:rsid w:val="7E885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2794</Words>
  <Characters>2975</Characters>
  <Lines>26</Lines>
  <Paragraphs>7</Paragraphs>
  <TotalTime>27</TotalTime>
  <ScaleCrop>false</ScaleCrop>
  <LinksUpToDate>false</LinksUpToDate>
  <CharactersWithSpaces>4013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2024-07-08T01:04:33Z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