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widowControl w:val="0"/>
        <w:kinsoku/>
        <w:wordWrap w:val="0"/>
        <w:overflowPunct/>
        <w:topLinePunct w:val="0"/>
        <w:bidi w:val="0"/>
        <w:snapToGrid w:val="0"/>
        <w:spacing w:beforeLines="100" w:afterLines="100" w:line="240" w:lineRule="auto"/>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030</w:t>
      </w:r>
      <w:r>
        <w:rPr>
          <w:rFonts w:hint="eastAsia" w:ascii="仿宋" w:hAnsi="仿宋" w:eastAsia="仿宋" w:cs="宋体"/>
          <w:color w:val="auto"/>
          <w:sz w:val="32"/>
          <w:szCs w:val="32"/>
        </w:rPr>
        <w:t>号</w:t>
      </w:r>
    </w:p>
    <w:p>
      <w:pPr>
        <w:keepNext w:val="0"/>
        <w:keepLines w:val="0"/>
        <w:pageBreakBefore w:val="0"/>
        <w:widowControl w:val="0"/>
        <w:kinsoku/>
        <w:overflowPunct/>
        <w:topLinePunct w:val="0"/>
        <w:bidi w:val="0"/>
        <w:spacing w:line="240" w:lineRule="auto"/>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秦皇岛市第一中学</w:t>
      </w:r>
      <w:r>
        <w:rPr>
          <w:rFonts w:hint="eastAsia" w:ascii="仿宋" w:hAnsi="仿宋" w:eastAsia="仿宋" w:cs="??_GB2312"/>
          <w:sz w:val="32"/>
          <w:szCs w:val="32"/>
        </w:rPr>
        <w:t>；</w:t>
      </w:r>
    </w:p>
    <w:p>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lang w:val="en-US" w:eastAsia="zh-CN"/>
        </w:rPr>
        <w:t>事业单位法人证书</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121303004018158414</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秦皇岛市开发区长江西道66号</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李长江</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22010219**********</w:t>
      </w:r>
      <w:bookmarkStart w:id="0" w:name="_GoBack"/>
      <w:bookmarkEnd w:id="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keepNext w:val="0"/>
        <w:keepLines w:val="0"/>
        <w:pageBreakBefore w:val="0"/>
        <w:widowControl w:val="0"/>
        <w:kinsoku/>
        <w:overflowPunct/>
        <w:topLinePunct w:val="0"/>
        <w:bidi w:val="0"/>
        <w:spacing w:line="240" w:lineRule="auto"/>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24</w:t>
      </w:r>
      <w:r>
        <w:rPr>
          <w:rFonts w:hint="eastAsia" w:ascii="仿宋" w:hAnsi="仿宋" w:eastAsia="仿宋" w:cs="仿宋"/>
          <w:bCs/>
          <w:sz w:val="32"/>
          <w:szCs w:val="32"/>
        </w:rPr>
        <w:t>日，本局由“国家食品安全抽样检验信息系统”平台接收到检验报告（№:ZD2024SP04417）后，指派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现场负责人杨素坤</w:t>
      </w:r>
      <w:r>
        <w:rPr>
          <w:rFonts w:hint="eastAsia" w:ascii="仿宋" w:hAnsi="仿宋" w:eastAsia="仿宋" w:cs="仿宋"/>
          <w:bCs/>
          <w:sz w:val="32"/>
          <w:szCs w:val="32"/>
        </w:rPr>
        <w:t>签收了上述检验报告并提供了当事人</w:t>
      </w:r>
      <w:r>
        <w:rPr>
          <w:rFonts w:hint="eastAsia" w:ascii="仿宋" w:hAnsi="仿宋" w:eastAsia="仿宋" w:cs="??_GB2312"/>
          <w:sz w:val="32"/>
          <w:szCs w:val="32"/>
          <w:lang w:val="en-US" w:eastAsia="zh-CN"/>
        </w:rPr>
        <w:t>事业单位法人证书</w:t>
      </w:r>
      <w:r>
        <w:rPr>
          <w:rFonts w:hint="eastAsia" w:ascii="仿宋" w:hAnsi="仿宋" w:eastAsia="仿宋" w:cs="仿宋"/>
          <w:bCs/>
          <w:sz w:val="32"/>
          <w:szCs w:val="32"/>
        </w:rPr>
        <w:t>等相关的资料。当事人对上述检验报告及其检验结论予以认可，</w:t>
      </w:r>
      <w:r>
        <w:rPr>
          <w:rFonts w:hint="eastAsia" w:ascii="仿宋" w:hAnsi="仿宋" w:eastAsia="仿宋" w:cs="仿宋"/>
          <w:bCs/>
          <w:sz w:val="32"/>
          <w:szCs w:val="32"/>
          <w:lang w:eastAsia="zh-CN"/>
        </w:rPr>
        <w:t>在规定的期限内</w:t>
      </w:r>
      <w:r>
        <w:rPr>
          <w:rFonts w:hint="eastAsia" w:ascii="仿宋" w:hAnsi="仿宋" w:eastAsia="仿宋" w:cs="仿宋"/>
          <w:bCs/>
          <w:sz w:val="32"/>
          <w:szCs w:val="32"/>
        </w:rPr>
        <w:t>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6</w:t>
      </w:r>
      <w:r>
        <w:rPr>
          <w:rFonts w:hint="eastAsia" w:ascii="仿宋" w:hAnsi="仿宋" w:eastAsia="仿宋" w:cs="仿宋"/>
          <w:bCs/>
          <w:sz w:val="32"/>
          <w:szCs w:val="32"/>
        </w:rPr>
        <w:t>日予以立案调查。</w:t>
      </w:r>
    </w:p>
    <w:p>
      <w:pPr>
        <w:keepNext w:val="0"/>
        <w:keepLines w:val="0"/>
        <w:pageBreakBefore w:val="0"/>
        <w:widowControl w:val="0"/>
        <w:kinsoku/>
        <w:overflowPunct/>
        <w:topLinePunct w:val="0"/>
        <w:bidi w:val="0"/>
        <w:spacing w:line="240" w:lineRule="auto"/>
        <w:ind w:right="233" w:rightChars="111" w:firstLine="640" w:firstLineChars="200"/>
        <w:jc w:val="left"/>
        <w:rPr>
          <w:rFonts w:hint="default"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_GB2312"/>
          <w:sz w:val="32"/>
          <w:szCs w:val="32"/>
          <w:lang w:val="en-US" w:eastAsia="zh-CN"/>
        </w:rPr>
        <w:t>2024年5月13日，秦皇岛市市场监督管理局经济技术开发区分局委托河北智德检验检测股份有限公司对当事人开展经营活动中使用的“盘子”</w:t>
      </w:r>
      <w:r>
        <w:rPr>
          <w:rFonts w:hint="eastAsia" w:ascii="仿宋" w:hAnsi="仿宋" w:eastAsia="仿宋" w:cs="仿宋"/>
          <w:bCs/>
          <w:sz w:val="32"/>
          <w:szCs w:val="32"/>
          <w:lang w:val="en-US" w:eastAsia="zh-CN"/>
        </w:rPr>
        <w:t>（食品名称：盘子，商标：/，规格型号：/，消毒日期：2024-05-13，联系电话：18633509880，标称生产者名称：/，被抽样单位名称：秦皇岛市第一中学，抽样日期：2024-05-13，样品数量：1414ml，备样数量707ml。)进行了食品安全监督抽检，2024年5月23日出具了检验报告（№:ZD2024SP04417）；检验项目：阴离子合成洗涤剂（以十二烷基苯磺酸钠计）,mg/100cm² ，标准指标：不得检出，实测值：0.0123 ，单项判定：不合格，检验依据：GB /T 5750.4-2006(亚甲蓝分光光度法）；检验结论：经抽样检验，阴离子合成洗涤剂(以十二烷基苯磺酸钠计)项目不符合 GB 14934-2016《食品安全国家标准 消毒餐(饮)具》要求，检验结论为不合格。鉴于当事人经营中存在的上述问题，本局于2024年5月24日下达了《责令改正通知书》（秦市监责改〔2024〕综38号），责令当事人</w:t>
      </w:r>
      <w:r>
        <w:rPr>
          <w:rFonts w:hint="eastAsia" w:ascii="仿宋" w:hAnsi="仿宋" w:eastAsia="仿宋" w:cs="仿宋"/>
          <w:bCs/>
          <w:color w:val="auto"/>
          <w:sz w:val="32"/>
          <w:szCs w:val="32"/>
          <w:lang w:val="en-US" w:eastAsia="zh-CN"/>
        </w:rPr>
        <w:t>在2024年6月12日</w:t>
      </w:r>
      <w:r>
        <w:rPr>
          <w:rFonts w:hint="eastAsia" w:ascii="仿宋" w:hAnsi="仿宋" w:eastAsia="仿宋" w:cs="仿宋"/>
          <w:bCs/>
          <w:sz w:val="32"/>
          <w:szCs w:val="32"/>
          <w:lang w:val="en-US" w:eastAsia="zh-CN"/>
        </w:rPr>
        <w:t>前改正，要求当事人按照要求对餐具、饮具进行清洗消毒，使用清洗消毒合格的餐具。</w:t>
      </w:r>
    </w:p>
    <w:p>
      <w:pPr>
        <w:keepLines w:val="0"/>
        <w:pageBreakBefore w:val="0"/>
        <w:kinsoku/>
        <w:overflowPunct/>
        <w:topLinePunct w:val="0"/>
        <w:autoSpaceDE/>
        <w:autoSpaceDN/>
        <w:bidi w:val="0"/>
        <w:adjustRightInd/>
        <w:snapToGrid/>
        <w:spacing w:line="240" w:lineRule="auto"/>
        <w:ind w:left="-239" w:leftChars="-114" w:right="42" w:rightChars="20"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2024年5月25日，当事人委托秦皇岛顺远公共环境卫生检验有限公司对其开展经营活动中使用的“盘子”进行了检验，2024年5月31日出具了检验报告（顺远检（2024）（委托）字-1036号）；检验项目：阴离子合成洗涤剂(以十二烷基苯磺酸钠计)，检验结论：所检项目均符合《食品安全国家标准 消毒餐（饮）具》GB14934-2016的规定。当事人在规定的期限内对开展经营活动中存在的上述问题进行了改正。当事人提供了秦皇岛顺远公共环境卫生检验有限公司营业执照、检验检测机构资质认定证书复印件以及检验报告等证明资料。在调查期间未对当事人采取行政强制措施。</w:t>
      </w:r>
    </w:p>
    <w:p>
      <w:pPr>
        <w:keepNext w:val="0"/>
        <w:keepLines w:val="0"/>
        <w:pageBreakBefore w:val="0"/>
        <w:widowControl w:val="0"/>
        <w:kinsoku/>
        <w:overflowPunct/>
        <w:topLinePunct w:val="0"/>
        <w:bidi w:val="0"/>
        <w:spacing w:line="240" w:lineRule="auto"/>
        <w:ind w:firstLine="643" w:firstLineChars="200"/>
        <w:rPr>
          <w:rFonts w:hint="eastAsia"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1.当事人授权委托人杨素坤签字盖章确认的当事人事业单位法人证书、食品经营许可证、法定代表人李长江身份证复印件各一份；证明了当事人的基本信息以及法定代表人身份信息等相关事项。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2.当事人为授权委托人杨素坤出具的授权委托书一份；受托人杨素坤身份证复印件一份；证明了受托人自然人身份信息以及当事人委托的真实性以及委托权限等相关事项。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3.对当事人经营场所现场笔录一份；现场检查照片打印件四份；对当事人授权委托人杨素坤所做询问笔录一份；证明了当事人开展经营活动以及在开展经营活动中使用清洗消毒不合格餐具的违法事实等相关事项。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4.对当事人下达的国家食品安全抽样检验告知书、食品安全抽样检验抽样单（非食用农产品）、检验报告、食品安全抽样检验结果通知书各一份；证明了对当事人开展经营活动中所使用的餐具进行食品安全监督抽检以及检验结论为不合格的真实性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rPr>
      </w:pPr>
      <w:r>
        <w:rPr>
          <w:rFonts w:hint="eastAsia" w:ascii="仿宋" w:hAnsi="仿宋" w:eastAsia="仿宋" w:cs="宋体"/>
          <w:bCs/>
          <w:color w:val="auto"/>
          <w:sz w:val="32"/>
          <w:szCs w:val="32"/>
          <w:lang w:eastAsia="zh-CN"/>
        </w:rPr>
        <w:t xml:space="preserve">5. 对当事人下达的《责令改正通知书》一份；当事人整改报告一份；当事人提供的公共场所卫生检验委托合同、检验报告（顺远检（2024）（委托）字-1036号）、秦皇岛顺远公共环境卫生检验有限公司营业执照、检验检测机构资质认定证书复印件各一份；证明了本局对当事人在开展经营活动中使用清洗消毒不合格餐具的违法行为责令限期改正以及当事人进行改正等相关事项。                                </w:t>
      </w:r>
      <w:r>
        <w:rPr>
          <w:rFonts w:hint="eastAsia" w:ascii="仿宋" w:hAnsi="仿宋" w:eastAsia="仿宋" w:cs="宋体"/>
          <w:bCs/>
          <w:color w:val="auto"/>
          <w:sz w:val="32"/>
          <w:szCs w:val="32"/>
        </w:rPr>
        <w:t xml:space="preserve">                                                                                          </w:t>
      </w:r>
    </w:p>
    <w:p>
      <w:pPr>
        <w:keepNext w:val="0"/>
        <w:keepLines w:val="0"/>
        <w:pageBreakBefore w:val="0"/>
        <w:widowControl w:val="0"/>
        <w:kinsoku/>
        <w:overflowPunct/>
        <w:topLinePunct w:val="0"/>
        <w:bidi w:val="0"/>
        <w:spacing w:line="240" w:lineRule="auto"/>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年</w:t>
      </w:r>
      <w:r>
        <w:rPr>
          <w:rFonts w:hint="eastAsia" w:ascii="仿宋" w:hAnsi="仿宋" w:eastAsia="仿宋" w:cs="宋体"/>
          <w:bCs/>
          <w:color w:val="auto"/>
          <w:sz w:val="32"/>
          <w:szCs w:val="32"/>
          <w:lang w:val="en-US" w:eastAsia="zh-CN"/>
        </w:rPr>
        <w:t>6</w:t>
      </w:r>
      <w:r>
        <w:rPr>
          <w:rFonts w:hint="eastAsia" w:ascii="仿宋" w:hAnsi="仿宋" w:eastAsia="仿宋" w:cs="宋体"/>
          <w:bCs/>
          <w:color w:val="auto"/>
          <w:sz w:val="32"/>
          <w:szCs w:val="32"/>
        </w:rPr>
        <w:t>月</w:t>
      </w:r>
      <w:r>
        <w:rPr>
          <w:rFonts w:hint="eastAsia" w:ascii="仿宋" w:hAnsi="仿宋" w:eastAsia="仿宋" w:cs="宋体"/>
          <w:bCs/>
          <w:color w:val="auto"/>
          <w:sz w:val="32"/>
          <w:szCs w:val="32"/>
          <w:lang w:val="en-US" w:eastAsia="zh-CN"/>
        </w:rPr>
        <w:t>14</w:t>
      </w:r>
      <w:r>
        <w:rPr>
          <w:rFonts w:hint="eastAsia" w:ascii="仿宋" w:hAnsi="仿宋" w:eastAsia="仿宋" w:cs="宋体"/>
          <w:bCs/>
          <w:color w:val="auto"/>
          <w:sz w:val="32"/>
          <w:szCs w:val="32"/>
        </w:rPr>
        <w:t>日</w:t>
      </w:r>
      <w:r>
        <w:rPr>
          <w:rFonts w:hint="eastAsia" w:ascii="仿宋" w:hAnsi="仿宋" w:eastAsia="仿宋" w:cs="宋体"/>
          <w:bCs/>
          <w:color w:val="auto"/>
          <w:sz w:val="32"/>
          <w:szCs w:val="32"/>
          <w:lang w:eastAsia="zh-CN"/>
        </w:rPr>
        <w:t>，本</w:t>
      </w:r>
      <w:r>
        <w:rPr>
          <w:rFonts w:hint="eastAsia" w:ascii="仿宋" w:hAnsi="仿宋" w:eastAsia="仿宋" w:cs="宋体"/>
          <w:bCs/>
          <w:color w:val="auto"/>
          <w:sz w:val="32"/>
          <w:szCs w:val="32"/>
        </w:rPr>
        <w:t>局向当事人送达了《行政处罚告知书》（秦市监罚告[202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]1</w:t>
      </w:r>
      <w:r>
        <w:rPr>
          <w:rFonts w:hint="eastAsia" w:ascii="仿宋" w:hAnsi="仿宋" w:eastAsia="仿宋" w:cs="宋体"/>
          <w:bCs/>
          <w:color w:val="auto"/>
          <w:sz w:val="32"/>
          <w:szCs w:val="32"/>
          <w:lang w:val="en-US" w:eastAsia="zh-CN"/>
        </w:rPr>
        <w:t>030</w:t>
      </w:r>
      <w:r>
        <w:rPr>
          <w:rFonts w:hint="eastAsia" w:ascii="仿宋" w:hAnsi="仿宋" w:eastAsia="仿宋" w:cs="宋体"/>
          <w:bCs/>
          <w:color w:val="auto"/>
          <w:sz w:val="32"/>
          <w:szCs w:val="32"/>
        </w:rPr>
        <w:t>号），当事人自收到该告知书之日起五个工作日内</w:t>
      </w:r>
      <w:r>
        <w:rPr>
          <w:rFonts w:hint="eastAsia" w:ascii="仿宋" w:hAnsi="仿宋" w:eastAsia="仿宋" w:cs="宋体"/>
          <w:bCs/>
          <w:color w:val="auto"/>
          <w:sz w:val="32"/>
          <w:szCs w:val="32"/>
          <w:lang w:eastAsia="zh-CN"/>
        </w:rPr>
        <w:t>，</w:t>
      </w:r>
      <w:r>
        <w:rPr>
          <w:rFonts w:hint="eastAsia" w:ascii="仿宋" w:hAnsi="仿宋" w:eastAsia="仿宋" w:cs="宋体"/>
          <w:bCs/>
          <w:color w:val="auto"/>
          <w:sz w:val="32"/>
          <w:szCs w:val="32"/>
        </w:rPr>
        <w:t>未行使陈述、申辩权。</w:t>
      </w:r>
    </w:p>
    <w:p>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rPr>
        <w:t>本局认为，当事人的上述行为违反了《中华人民共和国食品安全法》第五十六条第二款</w:t>
      </w:r>
      <w:r>
        <w:rPr>
          <w:rFonts w:hint="eastAsia" w:ascii="仿宋" w:hAnsi="仿宋" w:eastAsia="仿宋" w:cs="宋体"/>
          <w:bCs/>
          <w:color w:val="000000"/>
          <w:sz w:val="32"/>
          <w:szCs w:val="32"/>
          <w:lang w:eastAsia="zh-CN"/>
        </w:rPr>
        <w:t xml:space="preserve">：“餐饮服务提供者应当按照要求对餐具、饮具进行清洗消毒，不得使用未经清洗消毒的餐具、饮具；餐饮服务提供者委托清洗消毒餐具、饮具的，应当委托符合本法规定条件的餐具、饮具集中消毒服务单位。”的规定。属于使用清洗消毒不合格的餐具的违法行为。                                </w:t>
      </w:r>
    </w:p>
    <w:p>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当事人使用清洗消毒不合格的餐具的违法行为，违反了《中华人民共和国食品安全法》第五十六条第二款的规定，依据《中华人民共和国食品安全法》第一百二十六条第一款第（五）项的规定，应予以行政处罚。                                                      </w:t>
      </w:r>
    </w:p>
    <w:p>
      <w:pPr>
        <w:keepNext w:val="0"/>
        <w:keepLines w:val="0"/>
        <w:pageBreakBefore w:val="0"/>
        <w:widowControl w:val="0"/>
        <w:kinsoku/>
        <w:overflowPunct/>
        <w:topLinePunct w:val="0"/>
        <w:bidi w:val="0"/>
        <w:spacing w:line="240" w:lineRule="auto"/>
        <w:ind w:firstLine="640" w:firstLineChars="200"/>
        <w:rPr>
          <w:rFonts w:ascii="仿宋" w:hAnsi="仿宋" w:eastAsia="仿宋" w:cs="宋体"/>
          <w:sz w:val="32"/>
          <w:szCs w:val="32"/>
        </w:rPr>
      </w:pPr>
      <w:r>
        <w:rPr>
          <w:rFonts w:hint="eastAsia" w:ascii="仿宋" w:hAnsi="仿宋" w:eastAsia="仿宋" w:cs="宋体"/>
          <w:bCs/>
          <w:color w:val="000000"/>
          <w:sz w:val="32"/>
          <w:szCs w:val="32"/>
          <w:lang w:eastAsia="zh-CN"/>
        </w:rPr>
        <w:t xml:space="preserve">综上，当事人的上述违法行为违反了《中华人民共和国食品安全法》第五十六条第二款的规定；依据《中华人民共和国食品安全法》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的规定，责令当事人改正上述违法行为，并决定处罚如下：警告。  </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p>
    <w:p>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sz w:val="32"/>
          <w:szCs w:val="32"/>
          <w:u w:val="single"/>
        </w:rPr>
        <w:t xml:space="preserve">    </w:t>
      </w:r>
    </w:p>
    <w:p>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keepNext w:val="0"/>
        <w:keepLines w:val="0"/>
        <w:pageBreakBefore w:val="0"/>
        <w:widowControl w:val="0"/>
        <w:kinsoku/>
        <w:overflowPunct/>
        <w:topLinePunct w:val="0"/>
        <w:bidi w:val="0"/>
        <w:spacing w:line="240" w:lineRule="auto"/>
        <w:ind w:right="640" w:firstLine="601"/>
        <w:jc w:val="center"/>
        <w:rPr>
          <w:rFonts w:hint="default" w:ascii="仿宋" w:hAnsi="仿宋" w:eastAsia="仿宋" w:cs="宋体"/>
          <w:color w:val="auto"/>
          <w:sz w:val="32"/>
          <w:szCs w:val="32"/>
          <w:lang w:val="en-US" w:eastAsia="zh-CN"/>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auto"/>
          <w:sz w:val="32"/>
          <w:szCs w:val="32"/>
        </w:rPr>
        <w:t xml:space="preserve"> </w:t>
      </w:r>
      <w:r>
        <w:rPr>
          <w:rFonts w:hint="eastAsia" w:ascii="仿宋" w:hAnsi="仿宋" w:eastAsia="仿宋" w:cs="宋体"/>
          <w:color w:val="auto"/>
          <w:sz w:val="32"/>
          <w:szCs w:val="32"/>
          <w:lang w:val="en-US" w:eastAsia="zh-CN"/>
        </w:rPr>
        <w:t>2024</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6</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24日</w:t>
      </w:r>
    </w:p>
    <w:p>
      <w:pPr>
        <w:keepNext w:val="0"/>
        <w:keepLines w:val="0"/>
        <w:pageBreakBefore w:val="0"/>
        <w:widowControl w:val="0"/>
        <w:kinsoku/>
        <w:overflowPunct/>
        <w:topLinePunct w:val="0"/>
        <w:bidi w:val="0"/>
        <w:spacing w:line="240" w:lineRule="auto"/>
        <w:ind w:right="640" w:firstLine="601"/>
        <w:jc w:val="center"/>
        <w:rPr>
          <w:rFonts w:hint="eastAsia" w:ascii="仿宋" w:hAnsi="仿宋" w:eastAsia="仿宋" w:cs="宋体"/>
          <w:color w:val="auto"/>
          <w:sz w:val="32"/>
          <w:szCs w:val="32"/>
          <w:lang w:val="en-US" w:eastAsia="zh-CN"/>
        </w:rPr>
      </w:pPr>
    </w:p>
    <w:p>
      <w:pPr>
        <w:keepNext w:val="0"/>
        <w:keepLines w:val="0"/>
        <w:pageBreakBefore w:val="0"/>
        <w:widowControl w:val="0"/>
        <w:kinsoku/>
        <w:overflowPunct/>
        <w:topLinePunct w:val="0"/>
        <w:bidi w:val="0"/>
        <w:spacing w:line="240" w:lineRule="auto"/>
        <w:ind w:right="640" w:firstLine="601"/>
        <w:jc w:val="center"/>
        <w:rPr>
          <w:rFonts w:hint="eastAsia" w:ascii="仿宋" w:hAnsi="仿宋" w:eastAsia="仿宋" w:cs="宋体"/>
          <w:color w:val="auto"/>
          <w:sz w:val="32"/>
          <w:szCs w:val="32"/>
          <w:lang w:val="en-US" w:eastAsia="zh-CN"/>
        </w:rPr>
      </w:pPr>
    </w:p>
    <w:p>
      <w:pPr>
        <w:keepNext w:val="0"/>
        <w:keepLines w:val="0"/>
        <w:pageBreakBefore w:val="0"/>
        <w:widowControl w:val="0"/>
        <w:kinsoku/>
        <w:overflowPunct/>
        <w:topLinePunct w:val="0"/>
        <w:bidi w:val="0"/>
        <w:spacing w:line="240" w:lineRule="auto"/>
        <w:ind w:right="640" w:firstLine="601"/>
        <w:jc w:val="center"/>
        <w:rPr>
          <w:rFonts w:hint="eastAsia" w:ascii="仿宋" w:hAnsi="仿宋" w:eastAsia="仿宋" w:cs="宋体"/>
          <w:color w:val="auto"/>
          <w:sz w:val="32"/>
          <w:szCs w:val="32"/>
          <w:lang w:val="en-US" w:eastAsia="zh-CN"/>
        </w:rPr>
      </w:pPr>
    </w:p>
    <w:p>
      <w:pPr>
        <w:keepNext w:val="0"/>
        <w:keepLines w:val="0"/>
        <w:pageBreakBefore w:val="0"/>
        <w:widowControl w:val="0"/>
        <w:kinsoku/>
        <w:wordWrap w:val="0"/>
        <w:overflowPunct/>
        <w:topLinePunct w:val="0"/>
        <w:bidi w:val="0"/>
        <w:snapToGrid w:val="0"/>
        <w:spacing w:line="240" w:lineRule="auto"/>
        <w:rPr>
          <w:rFonts w:hint="eastAsia" w:ascii="仿宋" w:hAnsi="仿宋" w:eastAsia="仿宋" w:cs="黑体"/>
          <w:b/>
          <w:bCs/>
          <w:color w:val="000000"/>
          <w:sz w:val="32"/>
          <w:szCs w:val="32"/>
        </w:rPr>
      </w:pPr>
    </w:p>
    <w:p>
      <w:pPr>
        <w:keepNext w:val="0"/>
        <w:keepLines w:val="0"/>
        <w:pageBreakBefore w:val="0"/>
        <w:widowControl w:val="0"/>
        <w:kinsoku/>
        <w:wordWrap w:val="0"/>
        <w:overflowPunct/>
        <w:topLinePunct w:val="0"/>
        <w:bidi w:val="0"/>
        <w:snapToGrid w:val="0"/>
        <w:spacing w:line="240" w:lineRule="auto"/>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keepNext w:val="0"/>
        <w:keepLines w:val="0"/>
        <w:pageBreakBefore w:val="0"/>
        <w:widowControl w:val="0"/>
        <w:kinsoku/>
        <w:wordWrap w:val="0"/>
        <w:overflowPunct/>
        <w:topLinePunct w:val="0"/>
        <w:bidi w:val="0"/>
        <w:spacing w:line="240" w:lineRule="auto"/>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keepNext w:val="0"/>
        <w:keepLines w:val="0"/>
        <w:pageBreakBefore w:val="0"/>
        <w:widowControl w:val="0"/>
        <w:kinsoku/>
        <w:wordWrap w:val="0"/>
        <w:overflowPunct/>
        <w:topLinePunct w:val="0"/>
        <w:bidi w:val="0"/>
        <w:spacing w:line="240" w:lineRule="auto"/>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EA2651"/>
    <w:rsid w:val="05CD3FD8"/>
    <w:rsid w:val="06782196"/>
    <w:rsid w:val="06C94886"/>
    <w:rsid w:val="09E94680"/>
    <w:rsid w:val="0B084B61"/>
    <w:rsid w:val="0BFC7AB1"/>
    <w:rsid w:val="0C821E59"/>
    <w:rsid w:val="0D4B051E"/>
    <w:rsid w:val="0EFE2AE5"/>
    <w:rsid w:val="0F376A08"/>
    <w:rsid w:val="0FFE2269"/>
    <w:rsid w:val="1326357C"/>
    <w:rsid w:val="136E2957"/>
    <w:rsid w:val="14AE6143"/>
    <w:rsid w:val="16051582"/>
    <w:rsid w:val="17152542"/>
    <w:rsid w:val="17D86EC6"/>
    <w:rsid w:val="18F14FE3"/>
    <w:rsid w:val="1967313B"/>
    <w:rsid w:val="1A7C56B4"/>
    <w:rsid w:val="1B9431FB"/>
    <w:rsid w:val="1CD667D0"/>
    <w:rsid w:val="1D162491"/>
    <w:rsid w:val="1DA07503"/>
    <w:rsid w:val="1E937BB8"/>
    <w:rsid w:val="1ECA1AC6"/>
    <w:rsid w:val="20522F5E"/>
    <w:rsid w:val="221D3B45"/>
    <w:rsid w:val="23627A12"/>
    <w:rsid w:val="237635F6"/>
    <w:rsid w:val="27FC6C7E"/>
    <w:rsid w:val="28707897"/>
    <w:rsid w:val="291B1D0E"/>
    <w:rsid w:val="2932059A"/>
    <w:rsid w:val="2B5F1D03"/>
    <w:rsid w:val="2CE02D8A"/>
    <w:rsid w:val="2F565EDD"/>
    <w:rsid w:val="30236985"/>
    <w:rsid w:val="30A763AA"/>
    <w:rsid w:val="319C292D"/>
    <w:rsid w:val="322F2560"/>
    <w:rsid w:val="338024EF"/>
    <w:rsid w:val="3468700E"/>
    <w:rsid w:val="34C324BE"/>
    <w:rsid w:val="350C42EE"/>
    <w:rsid w:val="359605E4"/>
    <w:rsid w:val="38A72FFF"/>
    <w:rsid w:val="39C742BF"/>
    <w:rsid w:val="3A1C272D"/>
    <w:rsid w:val="3B2F036E"/>
    <w:rsid w:val="3E240604"/>
    <w:rsid w:val="41B234F8"/>
    <w:rsid w:val="43592C00"/>
    <w:rsid w:val="44612D2C"/>
    <w:rsid w:val="44C50A80"/>
    <w:rsid w:val="45BC42A2"/>
    <w:rsid w:val="4711663E"/>
    <w:rsid w:val="47DB5022"/>
    <w:rsid w:val="49317E04"/>
    <w:rsid w:val="49F02912"/>
    <w:rsid w:val="4C030BFD"/>
    <w:rsid w:val="4C826202"/>
    <w:rsid w:val="4D0E4C96"/>
    <w:rsid w:val="4E5A5650"/>
    <w:rsid w:val="507675B6"/>
    <w:rsid w:val="50F7329A"/>
    <w:rsid w:val="52A54CC8"/>
    <w:rsid w:val="52E22C40"/>
    <w:rsid w:val="558A777C"/>
    <w:rsid w:val="57513011"/>
    <w:rsid w:val="5B480E52"/>
    <w:rsid w:val="5C5869BC"/>
    <w:rsid w:val="5CCC4F24"/>
    <w:rsid w:val="5F133FCF"/>
    <w:rsid w:val="5F9C5F6A"/>
    <w:rsid w:val="60056957"/>
    <w:rsid w:val="60EC5AC7"/>
    <w:rsid w:val="61990FB0"/>
    <w:rsid w:val="61ED6E54"/>
    <w:rsid w:val="62C84A71"/>
    <w:rsid w:val="63384043"/>
    <w:rsid w:val="652E4ACF"/>
    <w:rsid w:val="665552C7"/>
    <w:rsid w:val="675853C5"/>
    <w:rsid w:val="676C2C91"/>
    <w:rsid w:val="69C95843"/>
    <w:rsid w:val="6BF55FC2"/>
    <w:rsid w:val="6C414923"/>
    <w:rsid w:val="6C821056"/>
    <w:rsid w:val="6C9D6CFC"/>
    <w:rsid w:val="6E783501"/>
    <w:rsid w:val="6FCF30CF"/>
    <w:rsid w:val="709D2F56"/>
    <w:rsid w:val="71423C6B"/>
    <w:rsid w:val="71B4761C"/>
    <w:rsid w:val="73011F50"/>
    <w:rsid w:val="74EA5B80"/>
    <w:rsid w:val="750638AB"/>
    <w:rsid w:val="79444B4F"/>
    <w:rsid w:val="7A1C4ECC"/>
    <w:rsid w:val="7D9A64D2"/>
    <w:rsid w:val="7E5F4B53"/>
    <w:rsid w:val="7E885398"/>
    <w:rsid w:val="7F6E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2392</Words>
  <Characters>2669</Characters>
  <Lines>26</Lines>
  <Paragraphs>7</Paragraphs>
  <TotalTime>54</TotalTime>
  <ScaleCrop>false</ScaleCrop>
  <LinksUpToDate>false</LinksUpToDate>
  <CharactersWithSpaces>3731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2024-06-25T09:15:00Z</cp:lastPrinted>
  <dcterms:modified xsi:type="dcterms:W3CDTF">2024-06-28T00:52:10Z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