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240" w:lineRule="atLeast"/>
        <w:jc w:val="center"/>
        <w:rPr>
          <w:rFonts w:ascii="仿宋" w:hAnsi="仿宋" w:eastAsia="仿宋" w:cs="宋体"/>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w:t>
      </w:r>
      <w:r>
        <w:rPr>
          <w:rFonts w:hint="eastAsia" w:ascii="仿宋" w:hAnsi="仿宋" w:eastAsia="仿宋" w:cs="仿宋"/>
          <w:color w:val="000000"/>
          <w:sz w:val="32"/>
          <w:szCs w:val="32"/>
          <w:lang w:eastAsia="zh-CN"/>
        </w:rPr>
        <w:t>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 xml:space="preserve">023 </w:t>
      </w:r>
      <w:r>
        <w:rPr>
          <w:rFonts w:hint="eastAsia" w:ascii="仿宋" w:hAnsi="仿宋" w:eastAsia="仿宋" w:cs="宋体"/>
          <w:sz w:val="32"/>
          <w:szCs w:val="32"/>
        </w:rPr>
        <w:t>号</w:t>
      </w:r>
    </w:p>
    <w:p>
      <w:pPr>
        <w:wordWrap w:val="0"/>
        <w:snapToGrid w:val="0"/>
        <w:spacing w:beforeLines="100" w:afterLines="100" w:line="240" w:lineRule="atLeas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开发区毓辉医疗诊所</w:t>
      </w:r>
      <w:r>
        <w:rPr>
          <w:rFonts w:hint="eastAsia" w:ascii="仿宋" w:hAnsi="仿宋" w:eastAsia="仿宋" w:cs="??_GB2312"/>
          <w:sz w:val="32"/>
          <w:szCs w:val="32"/>
        </w:rPr>
        <w:t>；</w:t>
      </w:r>
    </w:p>
    <w:p>
      <w:pPr>
        <w:spacing w:line="240" w:lineRule="atLeast"/>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240" w:lineRule="atLeast"/>
        <w:ind w:left="140" w:hanging="140"/>
        <w:rPr>
          <w:rFonts w:ascii="仿宋" w:hAnsi="仿宋" w:eastAsia="仿宋" w:cs="Mongolian Baiti"/>
          <w:kern w:val="1"/>
          <w:sz w:val="32"/>
          <w:szCs w:val="32"/>
        </w:rPr>
      </w:pPr>
      <w:r>
        <w:rPr>
          <w:rFonts w:hint="eastAsia" w:ascii="仿宋" w:hAnsi="仿宋" w:eastAsia="仿宋" w:cs="??_GB2312"/>
          <w:sz w:val="32"/>
          <w:szCs w:val="32"/>
        </w:rPr>
        <w:t>统一社会信用代码：</w:t>
      </w:r>
      <w:r>
        <w:rPr>
          <w:rFonts w:hint="eastAsia" w:ascii="仿宋" w:hAnsi="仿宋" w:eastAsia="仿宋" w:cs="??_GB2312"/>
          <w:sz w:val="32"/>
          <w:szCs w:val="32"/>
          <w:lang w:val="en-US" w:eastAsia="zh-CN"/>
        </w:rPr>
        <w:t>92130301MADKQG6X2R</w:t>
      </w:r>
      <w:r>
        <w:rPr>
          <w:rFonts w:hint="eastAsia" w:ascii="仿宋" w:hAnsi="仿宋" w:eastAsia="仿宋" w:cs="??_GB2312"/>
          <w:sz w:val="32"/>
          <w:szCs w:val="32"/>
        </w:rPr>
        <w:t>；</w:t>
      </w:r>
      <w:r>
        <w:rPr>
          <w:rFonts w:ascii="仿宋" w:hAnsi="仿宋" w:eastAsia="仿宋" w:cs="Mongolian Baiti"/>
          <w:kern w:val="1"/>
          <w:sz w:val="32"/>
          <w:szCs w:val="32"/>
        </w:rPr>
        <w:t xml:space="preserve">                                   </w:t>
      </w:r>
    </w:p>
    <w:p>
      <w:pPr>
        <w:spacing w:line="240" w:lineRule="atLeast"/>
        <w:ind w:left="2240" w:hanging="2240" w:hangingChars="700"/>
        <w:rPr>
          <w:rFonts w:ascii="仿宋" w:hAnsi="仿宋" w:eastAsia="仿宋" w:cs="Mongolian Baiti"/>
          <w:kern w:val="1"/>
          <w:sz w:val="32"/>
          <w:szCs w:val="32"/>
        </w:rPr>
      </w:pPr>
      <w:r>
        <w:rPr>
          <w:rFonts w:hint="eastAsia" w:ascii="仿宋" w:hAnsi="仿宋" w:eastAsia="仿宋" w:cs="??_GB2312"/>
          <w:sz w:val="32"/>
          <w:szCs w:val="32"/>
        </w:rPr>
        <w:t>住所（住址）：</w:t>
      </w:r>
      <w:r>
        <w:rPr>
          <w:rFonts w:hint="eastAsia" w:ascii="仿宋" w:hAnsi="仿宋" w:eastAsia="仿宋" w:cs="??_GB2312"/>
          <w:sz w:val="32"/>
          <w:szCs w:val="32"/>
          <w:lang w:val="en-US" w:eastAsia="zh-CN"/>
        </w:rPr>
        <w:t>秦皇岛开发区珠江道街道孟营一区38-5-1</w:t>
      </w:r>
      <w:r>
        <w:rPr>
          <w:rFonts w:hint="eastAsia" w:ascii="仿宋" w:hAnsi="仿宋" w:eastAsia="仿宋" w:cs="??_GB2312"/>
          <w:sz w:val="32"/>
          <w:szCs w:val="32"/>
        </w:rPr>
        <w:t>；</w:t>
      </w:r>
      <w:r>
        <w:rPr>
          <w:rFonts w:ascii="仿宋" w:hAnsi="仿宋" w:eastAsia="仿宋" w:cs="Mongolian Baiti"/>
          <w:bCs/>
          <w:kern w:val="1"/>
          <w:sz w:val="32"/>
          <w:szCs w:val="32"/>
        </w:rPr>
        <w:t xml:space="preserve">                                               </w:t>
      </w:r>
    </w:p>
    <w:p>
      <w:pPr>
        <w:spacing w:line="240" w:lineRule="atLeast"/>
        <w:rPr>
          <w:rFonts w:ascii="仿宋" w:hAnsi="仿宋" w:eastAsia="仿宋" w:cs="Mongolian Baiti"/>
          <w:kern w:val="1"/>
          <w:sz w:val="32"/>
          <w:szCs w:val="32"/>
        </w:rPr>
      </w:pPr>
      <w:r>
        <w:rPr>
          <w:rFonts w:hint="eastAsia" w:ascii="仿宋" w:hAnsi="仿宋" w:eastAsia="仿宋" w:cs="??_GB2312"/>
          <w:sz w:val="32"/>
          <w:szCs w:val="32"/>
        </w:rPr>
        <w:t>法定代表人（负责人、经营者）：</w:t>
      </w:r>
      <w:r>
        <w:rPr>
          <w:rFonts w:hint="eastAsia" w:ascii="仿宋" w:hAnsi="仿宋" w:eastAsia="仿宋" w:cs="??_GB2312"/>
          <w:sz w:val="32"/>
          <w:szCs w:val="32"/>
          <w:lang w:val="en-US" w:eastAsia="zh-CN"/>
        </w:rPr>
        <w:t>刘德辉</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240" w:lineRule="atLeast"/>
        <w:ind w:left="140" w:hanging="140"/>
        <w:rPr>
          <w:rFonts w:ascii="仿宋" w:hAnsi="仿宋" w:eastAsia="仿宋" w:cs="Mongolian Baiti"/>
          <w:sz w:val="32"/>
          <w:szCs w:val="32"/>
        </w:rPr>
      </w:pPr>
      <w:r>
        <w:rPr>
          <w:rFonts w:hint="eastAsia" w:ascii="仿宋" w:hAnsi="仿宋" w:eastAsia="仿宋" w:cs="仿宋"/>
          <w:spacing w:val="-26"/>
          <w:kern w:val="1"/>
          <w:sz w:val="32"/>
          <w:szCs w:val="32"/>
        </w:rPr>
        <w:t>身份证号码：</w:t>
      </w:r>
      <w:r>
        <w:rPr>
          <w:rFonts w:hint="eastAsia" w:ascii="仿宋" w:hAnsi="仿宋" w:eastAsia="仿宋" w:cs="仿宋"/>
          <w:kern w:val="1"/>
          <w:sz w:val="32"/>
          <w:szCs w:val="32"/>
          <w:u w:val="none"/>
          <w:lang w:val="en-US" w:eastAsia="zh-CN"/>
        </w:rPr>
        <w:t xml:space="preserve">15042619********** </w:t>
      </w:r>
      <w:r>
        <w:rPr>
          <w:rFonts w:hint="eastAsia" w:ascii="仿宋" w:hAnsi="仿宋" w:eastAsia="仿宋" w:cs="仿宋"/>
          <w:kern w:val="1"/>
          <w:sz w:val="32"/>
          <w:szCs w:val="32"/>
          <w:u w:val="none"/>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239" w:leftChars="-114" w:right="233" w:rightChars="111" w:firstLine="640" w:firstLineChars="200"/>
        <w:jc w:val="left"/>
        <w:textAlignment w:val="auto"/>
        <w:rPr>
          <w:rFonts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21</w:t>
      </w:r>
      <w:r>
        <w:rPr>
          <w:rFonts w:hint="eastAsia" w:ascii="仿宋" w:hAnsi="仿宋" w:eastAsia="仿宋" w:cs="仿宋"/>
          <w:bCs/>
          <w:sz w:val="32"/>
          <w:szCs w:val="32"/>
        </w:rPr>
        <w:t>日，本局</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执法人员对当事人位于</w:t>
      </w:r>
      <w:r>
        <w:rPr>
          <w:rFonts w:hint="eastAsia" w:ascii="仿宋" w:hAnsi="仿宋" w:eastAsia="仿宋" w:cs="??_GB2312"/>
          <w:sz w:val="32"/>
          <w:szCs w:val="32"/>
          <w:lang w:val="en-US" w:eastAsia="zh-CN"/>
        </w:rPr>
        <w:t>秦皇岛开发区珠江道街道孟营一区38-5-1</w:t>
      </w:r>
      <w:r>
        <w:rPr>
          <w:rFonts w:hint="eastAsia" w:ascii="仿宋" w:hAnsi="仿宋" w:eastAsia="仿宋" w:cs="仿宋"/>
          <w:bCs/>
          <w:sz w:val="32"/>
          <w:szCs w:val="32"/>
        </w:rPr>
        <w:t>的经营场所进行现场检查</w:t>
      </w:r>
      <w:r>
        <w:rPr>
          <w:rFonts w:hint="eastAsia" w:ascii="仿宋" w:hAnsi="仿宋" w:eastAsia="仿宋" w:cs="仿宋"/>
          <w:bCs/>
          <w:sz w:val="32"/>
          <w:szCs w:val="32"/>
          <w:lang w:eastAsia="zh-CN"/>
        </w:rPr>
        <w:t>时</w:t>
      </w:r>
      <w:r>
        <w:rPr>
          <w:rFonts w:hint="eastAsia" w:ascii="仿宋" w:hAnsi="仿宋" w:eastAsia="仿宋" w:cs="仿宋"/>
          <w:bCs/>
          <w:sz w:val="32"/>
          <w:szCs w:val="32"/>
        </w:rPr>
        <w:t>发现，当事人于202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21</w:t>
      </w:r>
      <w:r>
        <w:rPr>
          <w:rFonts w:hint="eastAsia" w:ascii="仿宋" w:hAnsi="仿宋" w:eastAsia="仿宋" w:cs="仿宋"/>
          <w:bCs/>
          <w:sz w:val="32"/>
          <w:szCs w:val="32"/>
        </w:rPr>
        <w:t>日未按规定凭处方销售处方药“</w:t>
      </w:r>
      <w:r>
        <w:rPr>
          <w:rFonts w:hint="eastAsia" w:ascii="仿宋" w:hAnsi="仿宋" w:eastAsia="仿宋" w:cs="仿宋"/>
          <w:bCs/>
          <w:sz w:val="32"/>
          <w:szCs w:val="32"/>
          <w:lang w:val="en-US" w:eastAsia="zh-CN"/>
        </w:rPr>
        <w:t>诺氟沙星胶囊</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sz w:val="32"/>
          <w:szCs w:val="32"/>
        </w:rPr>
        <w:t>产品批号：2304008</w:t>
      </w:r>
      <w:r>
        <w:rPr>
          <w:rFonts w:hint="eastAsia" w:ascii="仿宋" w:hAnsi="仿宋" w:eastAsia="仿宋" w:cs="仿宋"/>
          <w:bCs/>
          <w:sz w:val="32"/>
          <w:szCs w:val="32"/>
          <w:lang w:eastAsia="zh-CN"/>
        </w:rPr>
        <w:t>）</w:t>
      </w:r>
      <w:r>
        <w:rPr>
          <w:rFonts w:hint="eastAsia" w:ascii="仿宋" w:hAnsi="仿宋" w:eastAsia="仿宋" w:cs="仿宋"/>
          <w:bCs/>
          <w:sz w:val="32"/>
          <w:szCs w:val="32"/>
        </w:rPr>
        <w:t>1盒。鉴于当事人的上述行为，本局向当事人下达了《责令改正通知书》（秦市监责改〔202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综31</w:t>
      </w:r>
      <w:r>
        <w:rPr>
          <w:rFonts w:hint="eastAsia" w:ascii="仿宋" w:hAnsi="仿宋" w:eastAsia="仿宋" w:cs="仿宋"/>
          <w:bCs/>
          <w:sz w:val="32"/>
          <w:szCs w:val="32"/>
        </w:rPr>
        <w:t>号）、《当场行政处罚决定书》（秦市监当罚〔 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综02</w:t>
      </w:r>
      <w:r>
        <w:rPr>
          <w:rFonts w:hint="eastAsia" w:ascii="仿宋" w:hAnsi="仿宋" w:eastAsia="仿宋" w:cs="仿宋"/>
          <w:bCs/>
          <w:sz w:val="32"/>
          <w:szCs w:val="32"/>
        </w:rPr>
        <w:t>号），责令当事人</w:t>
      </w:r>
      <w:r>
        <w:rPr>
          <w:rFonts w:hint="eastAsia" w:ascii="仿宋" w:hAnsi="仿宋" w:eastAsia="仿宋" w:cs="仿宋"/>
          <w:bCs/>
          <w:sz w:val="32"/>
          <w:szCs w:val="32"/>
          <w:lang w:eastAsia="zh-CN"/>
        </w:rPr>
        <w:t>立即</w:t>
      </w:r>
      <w:r>
        <w:rPr>
          <w:rFonts w:hint="eastAsia" w:ascii="仿宋" w:hAnsi="仿宋" w:eastAsia="仿宋" w:cs="仿宋"/>
          <w:bCs/>
          <w:sz w:val="32"/>
          <w:szCs w:val="32"/>
        </w:rPr>
        <w:t>予以改正；并给予</w:t>
      </w:r>
      <w:r>
        <w:rPr>
          <w:rFonts w:hint="eastAsia" w:ascii="仿宋" w:hAnsi="仿宋" w:eastAsia="仿宋" w:cs="仿宋"/>
          <w:bCs/>
          <w:sz w:val="32"/>
          <w:szCs w:val="32"/>
          <w:lang w:eastAsia="zh-CN"/>
        </w:rPr>
        <w:t>当事人</w:t>
      </w:r>
      <w:r>
        <w:rPr>
          <w:rFonts w:hint="eastAsia" w:ascii="仿宋" w:hAnsi="仿宋" w:eastAsia="仿宋" w:cs="仿宋"/>
          <w:bCs/>
          <w:sz w:val="32"/>
          <w:szCs w:val="32"/>
        </w:rPr>
        <w:t>警告的行政处罚。202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23</w:t>
      </w:r>
      <w:r>
        <w:rPr>
          <w:rFonts w:hint="eastAsia" w:ascii="仿宋" w:hAnsi="仿宋" w:eastAsia="仿宋" w:cs="仿宋"/>
          <w:bCs/>
          <w:sz w:val="32"/>
          <w:szCs w:val="32"/>
        </w:rPr>
        <w:t>日，本局</w:t>
      </w:r>
      <w:r>
        <w:rPr>
          <w:rFonts w:hint="eastAsia" w:ascii="仿宋" w:hAnsi="仿宋" w:eastAsia="仿宋" w:cs="仿宋"/>
          <w:bCs/>
          <w:sz w:val="32"/>
          <w:szCs w:val="32"/>
          <w:lang w:eastAsia="zh-CN"/>
        </w:rPr>
        <w:t>指派两名</w:t>
      </w:r>
      <w:r>
        <w:rPr>
          <w:rFonts w:hint="eastAsia" w:ascii="仿宋" w:hAnsi="仿宋" w:eastAsia="仿宋" w:cs="仿宋"/>
          <w:bCs/>
          <w:sz w:val="32"/>
          <w:szCs w:val="32"/>
        </w:rPr>
        <w:t>执法人员对当事人在开展经营活动中存在上述未按规定凭处方销售处方药的</w:t>
      </w:r>
      <w:r>
        <w:rPr>
          <w:rFonts w:hint="eastAsia" w:ascii="仿宋" w:hAnsi="仿宋" w:eastAsia="仿宋" w:cs="仿宋"/>
          <w:bCs/>
          <w:sz w:val="32"/>
          <w:szCs w:val="32"/>
          <w:lang w:eastAsia="zh-CN"/>
        </w:rPr>
        <w:t>行为</w:t>
      </w:r>
      <w:r>
        <w:rPr>
          <w:rFonts w:hint="eastAsia" w:ascii="仿宋" w:hAnsi="仿宋" w:eastAsia="仿宋" w:cs="仿宋"/>
          <w:bCs/>
          <w:sz w:val="32"/>
          <w:szCs w:val="32"/>
        </w:rPr>
        <w:t>进行复查时发现，当事人于202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23</w:t>
      </w:r>
      <w:r>
        <w:rPr>
          <w:rFonts w:hint="eastAsia" w:ascii="仿宋" w:hAnsi="仿宋" w:eastAsia="仿宋" w:cs="仿宋"/>
          <w:bCs/>
          <w:sz w:val="32"/>
          <w:szCs w:val="32"/>
        </w:rPr>
        <w:t>日未按规定凭处方销售处方药“</w:t>
      </w:r>
      <w:r>
        <w:rPr>
          <w:rFonts w:hint="eastAsia" w:ascii="仿宋" w:hAnsi="仿宋" w:eastAsia="仿宋" w:cs="仿宋"/>
          <w:bCs/>
          <w:sz w:val="32"/>
          <w:szCs w:val="32"/>
          <w:lang w:val="en-US" w:eastAsia="zh-CN"/>
        </w:rPr>
        <w:t>阿莫西林胶囊</w:t>
      </w:r>
      <w:r>
        <w:rPr>
          <w:rFonts w:hint="eastAsia" w:ascii="仿宋" w:hAnsi="仿宋" w:eastAsia="仿宋" w:cs="仿宋"/>
          <w:bCs/>
          <w:sz w:val="32"/>
          <w:szCs w:val="32"/>
        </w:rPr>
        <w:t>”</w:t>
      </w:r>
      <w:r>
        <w:rPr>
          <w:rFonts w:hint="eastAsia" w:ascii="仿宋" w:hAnsi="仿宋" w:eastAsia="仿宋" w:cs="仿宋"/>
          <w:bCs/>
          <w:sz w:val="32"/>
          <w:szCs w:val="32"/>
          <w:lang w:eastAsia="zh-CN"/>
        </w:rPr>
        <w:t>（产品批号：16230150）</w:t>
      </w:r>
      <w:r>
        <w:rPr>
          <w:rFonts w:hint="eastAsia" w:ascii="仿宋" w:hAnsi="仿宋" w:eastAsia="仿宋" w:cs="仿宋"/>
          <w:bCs/>
          <w:sz w:val="32"/>
          <w:szCs w:val="32"/>
        </w:rPr>
        <w:t>1盒。当事人因未按规定凭处方销售处方药被责令限期改正，但逾期不改正。为进一步调查案情，经分局部门负责人批准，本局于202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24</w:t>
      </w:r>
      <w:r>
        <w:rPr>
          <w:rFonts w:hint="eastAsia" w:ascii="仿宋" w:hAnsi="仿宋" w:eastAsia="仿宋" w:cs="仿宋"/>
          <w:bCs/>
          <w:sz w:val="32"/>
          <w:szCs w:val="32"/>
        </w:rPr>
        <w:t>日予以立案调查。</w:t>
      </w:r>
    </w:p>
    <w:p>
      <w:pPr>
        <w:spacing w:line="240" w:lineRule="atLeast"/>
        <w:ind w:left="-239" w:leftChars="-114" w:right="233" w:rightChars="111" w:firstLine="640" w:firstLineChars="200"/>
        <w:jc w:val="left"/>
        <w:rPr>
          <w:rFonts w:ascii="仿宋" w:hAnsi="仿宋" w:eastAsia="仿宋" w:cs="仿宋"/>
          <w:bCs/>
          <w:color w:val="000000"/>
          <w:sz w:val="32"/>
          <w:szCs w:val="32"/>
        </w:rPr>
      </w:pPr>
      <w:r>
        <w:rPr>
          <w:rFonts w:hint="eastAsia" w:ascii="仿宋" w:hAnsi="仿宋" w:eastAsia="仿宋" w:cs="仿宋"/>
          <w:sz w:val="32"/>
          <w:szCs w:val="32"/>
        </w:rPr>
        <w:t>经查：</w:t>
      </w:r>
      <w:r>
        <w:rPr>
          <w:rFonts w:hint="eastAsia" w:ascii="仿宋" w:hAnsi="仿宋" w:eastAsia="仿宋" w:cs="仿宋"/>
          <w:sz w:val="32"/>
          <w:szCs w:val="32"/>
          <w:lang w:val="en-US" w:eastAsia="zh-CN"/>
        </w:rPr>
        <w:t>2</w:t>
      </w:r>
      <w:r>
        <w:rPr>
          <w:rFonts w:hint="eastAsia" w:ascii="仿宋" w:hAnsi="仿宋" w:eastAsia="仿宋" w:cs="仿宋"/>
          <w:sz w:val="32"/>
          <w:szCs w:val="32"/>
        </w:rPr>
        <w:t>023年12月12日，当事人由秦皇岛兴贵康医药销售有限公司购进该批次“诺氟沙星胶囊”（规格：0.1g，商标：洛美星，生产日期：2023年04月12日，产品批号：2304008，有效期至：2025年4月11日。）数量：10盒，购进价格：4元/盒。2024年5月21日，经营者刘德辉在本人不具有执业医师资格证书以及单位执业医师不在岗无法为患者出具处方的情况下，按照购药患者要求，向</w:t>
      </w:r>
      <w:r>
        <w:rPr>
          <w:rFonts w:hint="eastAsia" w:ascii="仿宋" w:hAnsi="仿宋" w:eastAsia="仿宋" w:cs="仿宋"/>
          <w:sz w:val="32"/>
          <w:szCs w:val="32"/>
          <w:lang w:eastAsia="zh-CN"/>
        </w:rPr>
        <w:t>其</w:t>
      </w:r>
      <w:r>
        <w:rPr>
          <w:rFonts w:hint="eastAsia" w:ascii="仿宋" w:hAnsi="仿宋" w:eastAsia="仿宋" w:cs="仿宋"/>
          <w:sz w:val="32"/>
          <w:szCs w:val="32"/>
        </w:rPr>
        <w:t>销售上述处方药“诺氟沙星胶囊”1盒，销售价格：6元/盒。2024年2月16日，当事人由秦皇岛兴贵康医药销售有限公司购进该批次“阿莫西林胶囊”（规格：0.25g×20粒，商标：珍棒，生产日期：2023年01月19日，产品批号：16230150，有效期至：2025年12月）数量：10盒；购进价格：2.4元/盒。2024年5月23日，经营者刘德辉在本人不具有执业医师资格证书以及单位执业医师不在岗无法为患者出具处方的情况下，按照购药患者要求，向</w:t>
      </w:r>
      <w:r>
        <w:rPr>
          <w:rFonts w:hint="eastAsia" w:ascii="仿宋" w:hAnsi="仿宋" w:eastAsia="仿宋" w:cs="仿宋"/>
          <w:sz w:val="32"/>
          <w:szCs w:val="32"/>
          <w:lang w:eastAsia="zh-CN"/>
        </w:rPr>
        <w:t>其</w:t>
      </w:r>
      <w:r>
        <w:rPr>
          <w:rFonts w:hint="eastAsia" w:ascii="仿宋" w:hAnsi="仿宋" w:eastAsia="仿宋" w:cs="仿宋"/>
          <w:sz w:val="32"/>
          <w:szCs w:val="32"/>
        </w:rPr>
        <w:t>销售上述处方药“阿莫西林胶囊”1盒，销售价格：4元/盒。当事人因未按规定凭处方销售处方药被责令限期改正，但逾期不改正；未按规定凭处方销售处方药。当事人主观上认为已经制定并向市场监督管理部门上交了整改报告，就表示已经整改完毕，市场监督管理部门不会对当事人在开展经营活动中</w:t>
      </w:r>
      <w:r>
        <w:rPr>
          <w:rFonts w:hint="eastAsia" w:ascii="仿宋" w:hAnsi="仿宋" w:eastAsia="仿宋" w:cs="仿宋"/>
          <w:sz w:val="32"/>
          <w:szCs w:val="32"/>
          <w:lang w:eastAsia="zh-CN"/>
        </w:rPr>
        <w:t>存在</w:t>
      </w:r>
      <w:r>
        <w:rPr>
          <w:rFonts w:hint="eastAsia" w:ascii="仿宋" w:hAnsi="仿宋" w:eastAsia="仿宋" w:cs="仿宋"/>
          <w:sz w:val="32"/>
          <w:szCs w:val="32"/>
        </w:rPr>
        <w:t>的</w:t>
      </w:r>
      <w:r>
        <w:rPr>
          <w:rFonts w:hint="eastAsia" w:ascii="仿宋" w:hAnsi="仿宋" w:eastAsia="仿宋" w:cs="仿宋"/>
          <w:sz w:val="32"/>
          <w:szCs w:val="32"/>
          <w:lang w:eastAsia="zh-CN"/>
        </w:rPr>
        <w:t>上述问题</w:t>
      </w:r>
      <w:r>
        <w:rPr>
          <w:rFonts w:hint="eastAsia" w:ascii="仿宋" w:hAnsi="仿宋" w:eastAsia="仿宋" w:cs="仿宋"/>
          <w:sz w:val="32"/>
          <w:szCs w:val="32"/>
        </w:rPr>
        <w:t>进行复查，当事人</w:t>
      </w:r>
      <w:r>
        <w:rPr>
          <w:rFonts w:hint="eastAsia" w:ascii="仿宋" w:hAnsi="仿宋" w:eastAsia="仿宋" w:cs="仿宋"/>
          <w:sz w:val="32"/>
          <w:szCs w:val="32"/>
          <w:lang w:eastAsia="zh-CN"/>
        </w:rPr>
        <w:t>对</w:t>
      </w:r>
      <w:r>
        <w:rPr>
          <w:rFonts w:hint="eastAsia" w:ascii="仿宋" w:hAnsi="仿宋" w:eastAsia="仿宋" w:cs="仿宋"/>
          <w:bCs/>
          <w:sz w:val="32"/>
          <w:szCs w:val="32"/>
        </w:rPr>
        <w:t>未</w:t>
      </w:r>
      <w:r>
        <w:rPr>
          <w:rFonts w:hint="eastAsia" w:ascii="仿宋" w:hAnsi="仿宋" w:eastAsia="仿宋" w:cs="仿宋"/>
          <w:bCs/>
          <w:sz w:val="32"/>
          <w:szCs w:val="32"/>
          <w:lang w:eastAsia="zh-CN"/>
        </w:rPr>
        <w:t>按规定</w:t>
      </w:r>
      <w:r>
        <w:rPr>
          <w:rFonts w:hint="eastAsia" w:ascii="仿宋" w:hAnsi="仿宋" w:eastAsia="仿宋" w:cs="仿宋"/>
          <w:bCs/>
          <w:sz w:val="32"/>
          <w:szCs w:val="32"/>
        </w:rPr>
        <w:t>凭处方销售处方药</w:t>
      </w:r>
      <w:r>
        <w:rPr>
          <w:rFonts w:hint="eastAsia" w:ascii="仿宋" w:hAnsi="仿宋" w:eastAsia="仿宋" w:cs="仿宋"/>
          <w:bCs/>
          <w:sz w:val="32"/>
          <w:szCs w:val="32"/>
          <w:lang w:eastAsia="zh-CN"/>
        </w:rPr>
        <w:t>的行为</w:t>
      </w:r>
      <w:r>
        <w:rPr>
          <w:rFonts w:hint="eastAsia" w:ascii="仿宋" w:hAnsi="仿宋" w:eastAsia="仿宋" w:cs="仿宋"/>
          <w:bCs/>
          <w:sz w:val="32"/>
          <w:szCs w:val="32"/>
        </w:rPr>
        <w:t>逾期不改正。当事人提供了所经营的上述</w:t>
      </w:r>
      <w:r>
        <w:rPr>
          <w:rFonts w:hint="eastAsia" w:ascii="仿宋" w:hAnsi="仿宋" w:eastAsia="仿宋" w:cs="仿宋"/>
          <w:bCs/>
          <w:sz w:val="32"/>
          <w:szCs w:val="32"/>
          <w:lang w:eastAsia="zh-CN"/>
        </w:rPr>
        <w:t>药品</w:t>
      </w:r>
      <w:r>
        <w:rPr>
          <w:rFonts w:hint="eastAsia" w:ascii="仿宋" w:hAnsi="仿宋" w:eastAsia="仿宋" w:cs="仿宋"/>
          <w:bCs/>
          <w:sz w:val="32"/>
          <w:szCs w:val="32"/>
        </w:rPr>
        <w:t>的秦皇岛</w:t>
      </w:r>
      <w:r>
        <w:rPr>
          <w:rFonts w:hint="eastAsia" w:ascii="仿宋" w:hAnsi="仿宋" w:eastAsia="仿宋" w:cs="仿宋"/>
          <w:bCs/>
          <w:sz w:val="32"/>
          <w:szCs w:val="32"/>
          <w:lang w:val="en-US" w:eastAsia="zh-CN"/>
        </w:rPr>
        <w:t>兴贵康医药销售</w:t>
      </w:r>
      <w:r>
        <w:rPr>
          <w:rFonts w:hint="eastAsia" w:ascii="仿宋" w:hAnsi="仿宋" w:eastAsia="仿宋" w:cs="仿宋"/>
          <w:bCs/>
          <w:sz w:val="32"/>
          <w:szCs w:val="32"/>
        </w:rPr>
        <w:t>有限公司</w:t>
      </w:r>
      <w:r>
        <w:rPr>
          <w:rFonts w:hint="eastAsia" w:ascii="仿宋" w:hAnsi="仿宋" w:eastAsia="仿宋" w:cs="仿宋"/>
          <w:bCs/>
          <w:sz w:val="32"/>
          <w:szCs w:val="32"/>
          <w:lang w:val="en-US" w:eastAsia="zh-CN"/>
        </w:rPr>
        <w:t>随货同行单</w:t>
      </w:r>
      <w:r>
        <w:rPr>
          <w:rFonts w:hint="eastAsia" w:ascii="仿宋" w:hAnsi="仿宋" w:eastAsia="仿宋" w:cs="仿宋"/>
          <w:bCs/>
          <w:sz w:val="32"/>
          <w:szCs w:val="32"/>
        </w:rPr>
        <w:t>、销售凭证等证明资料，说明了其进货来源。调查期间未对当事人采取行政强制措施。</w:t>
      </w:r>
      <w:r>
        <w:rPr>
          <w:rFonts w:hint="eastAsia" w:ascii="仿宋" w:hAnsi="仿宋" w:eastAsia="仿宋" w:cs="仿宋"/>
          <w:bCs/>
          <w:color w:val="000000"/>
          <w:sz w:val="32"/>
          <w:szCs w:val="32"/>
        </w:rPr>
        <w:t xml:space="preserve"> </w:t>
      </w:r>
      <w:r>
        <w:rPr>
          <w:rFonts w:ascii="仿宋" w:hAnsi="仿宋" w:eastAsia="仿宋" w:cs="仿宋"/>
          <w:bCs/>
          <w:color w:val="000000"/>
          <w:sz w:val="32"/>
          <w:szCs w:val="32"/>
        </w:rPr>
        <w:t xml:space="preserve">  </w:t>
      </w:r>
    </w:p>
    <w:p>
      <w:pPr>
        <w:spacing w:line="240" w:lineRule="atLeas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pPr>
        <w:spacing w:line="240" w:lineRule="atLeast"/>
        <w:rPr>
          <w:rFonts w:hint="eastAsia" w:ascii="仿宋" w:hAnsi="仿宋" w:eastAsia="仿宋" w:cs="仿宋"/>
          <w:sz w:val="32"/>
          <w:szCs w:val="32"/>
        </w:rPr>
      </w:pPr>
      <w:r>
        <w:rPr>
          <w:rFonts w:hint="eastAsia" w:ascii="仿宋" w:hAnsi="仿宋" w:eastAsia="仿宋" w:cs="仿宋"/>
          <w:sz w:val="32"/>
          <w:szCs w:val="32"/>
        </w:rPr>
        <w:t>1.当事人经营者刘德辉签字盖章确认的当事人营业执照、医疗机构执业许可证、经营者刘德辉身份证复印件各一份；证明了当事人的基本信息以及</w:t>
      </w:r>
      <w:r>
        <w:rPr>
          <w:rFonts w:hint="eastAsia" w:ascii="仿宋" w:hAnsi="仿宋" w:eastAsia="仿宋" w:cs="仿宋"/>
          <w:sz w:val="32"/>
          <w:szCs w:val="32"/>
          <w:lang w:eastAsia="zh-CN"/>
        </w:rPr>
        <w:t>经营者</w:t>
      </w:r>
      <w:r>
        <w:rPr>
          <w:rFonts w:hint="eastAsia" w:ascii="仿宋" w:hAnsi="仿宋" w:eastAsia="仿宋" w:cs="仿宋"/>
          <w:sz w:val="32"/>
          <w:szCs w:val="32"/>
        </w:rPr>
        <w:t xml:space="preserve">身份信息等相关事项。                                                    </w:t>
      </w:r>
    </w:p>
    <w:p>
      <w:pPr>
        <w:spacing w:line="240" w:lineRule="atLeast"/>
        <w:rPr>
          <w:rFonts w:hint="eastAsia" w:ascii="仿宋" w:hAnsi="仿宋" w:eastAsia="仿宋" w:cs="仿宋"/>
          <w:sz w:val="32"/>
          <w:szCs w:val="32"/>
        </w:rPr>
      </w:pPr>
      <w:r>
        <w:rPr>
          <w:rFonts w:hint="eastAsia" w:ascii="仿宋" w:hAnsi="仿宋" w:eastAsia="仿宋" w:cs="仿宋"/>
          <w:sz w:val="32"/>
          <w:szCs w:val="32"/>
        </w:rPr>
        <w:t xml:space="preserve">2. 对当事人经营场所现场笔录二份、现场检查照片打印件七份、对经营者刘德辉所做询问笔录一份；当事人零售单二份；证明了当事人开展经营活动以及开展经营活动中未按规定凭处方销售处方药的违法事实等相关事项。                                            </w:t>
      </w:r>
    </w:p>
    <w:p>
      <w:pPr>
        <w:spacing w:line="240" w:lineRule="atLeast"/>
        <w:rPr>
          <w:rFonts w:hint="eastAsia" w:ascii="仿宋" w:hAnsi="仿宋" w:eastAsia="仿宋" w:cs="仿宋"/>
          <w:sz w:val="32"/>
          <w:szCs w:val="32"/>
        </w:rPr>
      </w:pPr>
      <w:r>
        <w:rPr>
          <w:rFonts w:hint="eastAsia" w:ascii="仿宋" w:hAnsi="仿宋" w:eastAsia="仿宋" w:cs="仿宋"/>
          <w:sz w:val="32"/>
          <w:szCs w:val="32"/>
        </w:rPr>
        <w:t xml:space="preserve">3.当事人经营者刘德辉签字盖章确认的秦皇岛兴贵康医药销售有限公司随货同行单复印件二份；证明了当事人所经营的该批次药品的进货来源等相关事项。                                      </w:t>
      </w:r>
    </w:p>
    <w:p>
      <w:pPr>
        <w:spacing w:line="240" w:lineRule="atLeast"/>
        <w:rPr>
          <w:rFonts w:ascii="Times New Roman" w:hAnsi="??_GB2312" w:eastAsia="Times New Roman" w:cs="??_GB2312"/>
          <w:sz w:val="32"/>
          <w:szCs w:val="32"/>
        </w:rPr>
      </w:pPr>
      <w:r>
        <w:rPr>
          <w:rFonts w:hint="eastAsia" w:ascii="仿宋" w:hAnsi="仿宋" w:eastAsia="仿宋" w:cs="仿宋"/>
          <w:sz w:val="32"/>
          <w:szCs w:val="32"/>
        </w:rPr>
        <w:t>4.对当事人下达的《责令改正通知书</w:t>
      </w:r>
      <w:r>
        <w:rPr>
          <w:rFonts w:hint="eastAsia" w:ascii="仿宋" w:hAnsi="仿宋" w:eastAsia="仿宋" w:cs="仿宋"/>
          <w:sz w:val="32"/>
          <w:szCs w:val="32"/>
          <w:lang w:eastAsia="zh-CN"/>
        </w:rPr>
        <w:t>》《</w:t>
      </w:r>
      <w:r>
        <w:rPr>
          <w:rFonts w:hint="eastAsia" w:ascii="仿宋" w:hAnsi="仿宋" w:eastAsia="仿宋" w:cs="仿宋"/>
          <w:sz w:val="32"/>
          <w:szCs w:val="32"/>
        </w:rPr>
        <w:t xml:space="preserve">当场行政处罚决定书》各一份；当事人整改报告一份；证明了本局对当事人未按规定凭处方销售处方药的违法行为进行责令限期改正并给予警告的行政处罚以及当事人进行改正的相关事项。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pPr>
        <w:spacing w:line="240" w:lineRule="atLeast"/>
        <w:ind w:firstLine="640" w:firstLineChars="200"/>
        <w:rPr>
          <w:rFonts w:ascii="仿宋" w:hAnsi="仿宋" w:eastAsia="仿宋" w:cs="宋体"/>
          <w:bCs/>
          <w:color w:val="000000"/>
          <w:sz w:val="32"/>
          <w:szCs w:val="32"/>
        </w:rPr>
      </w:pPr>
      <w:r>
        <w:rPr>
          <w:rFonts w:hint="eastAsia" w:ascii="仿宋" w:hAnsi="仿宋" w:eastAsia="仿宋" w:cs="宋体"/>
          <w:bCs/>
          <w:color w:val="000000"/>
          <w:sz w:val="32"/>
          <w:szCs w:val="32"/>
        </w:rPr>
        <w:t>202</w:t>
      </w:r>
      <w:r>
        <w:rPr>
          <w:rFonts w:hint="eastAsia" w:ascii="仿宋" w:hAnsi="仿宋" w:eastAsia="仿宋" w:cs="宋体"/>
          <w:bCs/>
          <w:color w:val="000000"/>
          <w:sz w:val="32"/>
          <w:szCs w:val="32"/>
          <w:lang w:val="en-US" w:eastAsia="zh-CN"/>
        </w:rPr>
        <w:t>4</w:t>
      </w:r>
      <w:r>
        <w:rPr>
          <w:rFonts w:hint="eastAsia" w:ascii="仿宋" w:hAnsi="仿宋" w:eastAsia="仿宋" w:cs="宋体"/>
          <w:bCs/>
          <w:color w:val="000000"/>
          <w:sz w:val="32"/>
          <w:szCs w:val="32"/>
        </w:rPr>
        <w:t>年</w:t>
      </w:r>
      <w:r>
        <w:rPr>
          <w:rFonts w:hint="eastAsia" w:ascii="仿宋" w:hAnsi="仿宋" w:eastAsia="仿宋" w:cs="宋体"/>
          <w:bCs/>
          <w:color w:val="000000"/>
          <w:sz w:val="32"/>
          <w:szCs w:val="32"/>
          <w:lang w:val="en-US" w:eastAsia="zh-CN"/>
        </w:rPr>
        <w:t>5</w:t>
      </w:r>
      <w:r>
        <w:rPr>
          <w:rFonts w:hint="eastAsia" w:ascii="仿宋" w:hAnsi="仿宋" w:eastAsia="仿宋" w:cs="宋体"/>
          <w:bCs/>
          <w:color w:val="000000"/>
          <w:sz w:val="32"/>
          <w:szCs w:val="32"/>
        </w:rPr>
        <w:t>月</w:t>
      </w:r>
      <w:r>
        <w:rPr>
          <w:rFonts w:hint="eastAsia" w:ascii="仿宋" w:hAnsi="仿宋" w:eastAsia="仿宋" w:cs="宋体"/>
          <w:bCs/>
          <w:color w:val="000000"/>
          <w:sz w:val="32"/>
          <w:szCs w:val="32"/>
          <w:lang w:val="en-US" w:eastAsia="zh-CN"/>
        </w:rPr>
        <w:t>28</w:t>
      </w:r>
      <w:r>
        <w:rPr>
          <w:rFonts w:hint="eastAsia" w:ascii="仿宋" w:hAnsi="仿宋" w:eastAsia="仿宋" w:cs="宋体"/>
          <w:bCs/>
          <w:color w:val="000000"/>
          <w:sz w:val="32"/>
          <w:szCs w:val="32"/>
        </w:rPr>
        <w:t>日</w:t>
      </w:r>
      <w:r>
        <w:rPr>
          <w:rFonts w:hint="eastAsia" w:ascii="仿宋" w:hAnsi="仿宋" w:eastAsia="仿宋" w:cs="宋体"/>
          <w:bCs/>
          <w:color w:val="000000"/>
          <w:sz w:val="32"/>
          <w:szCs w:val="32"/>
          <w:lang w:eastAsia="zh-CN"/>
        </w:rPr>
        <w:t>，本</w:t>
      </w:r>
      <w:r>
        <w:rPr>
          <w:rFonts w:hint="eastAsia" w:ascii="仿宋" w:hAnsi="仿宋" w:eastAsia="仿宋" w:cs="宋体"/>
          <w:bCs/>
          <w:color w:val="000000"/>
          <w:sz w:val="32"/>
          <w:szCs w:val="32"/>
        </w:rPr>
        <w:t>局向当事人送达了《行政处罚告知书》（秦市监</w:t>
      </w:r>
      <w:r>
        <w:rPr>
          <w:rFonts w:hint="eastAsia" w:ascii="仿宋" w:hAnsi="仿宋" w:eastAsia="仿宋" w:cs="宋体"/>
          <w:bCs/>
          <w:color w:val="000000"/>
          <w:sz w:val="32"/>
          <w:szCs w:val="32"/>
          <w:lang w:eastAsia="zh-CN"/>
        </w:rPr>
        <w:t>罚</w:t>
      </w:r>
      <w:r>
        <w:rPr>
          <w:rFonts w:hint="eastAsia" w:ascii="仿宋" w:hAnsi="仿宋" w:eastAsia="仿宋" w:cs="宋体"/>
          <w:bCs/>
          <w:color w:val="000000"/>
          <w:sz w:val="32"/>
          <w:szCs w:val="32"/>
        </w:rPr>
        <w:t>告[202</w:t>
      </w:r>
      <w:r>
        <w:rPr>
          <w:rFonts w:hint="eastAsia" w:ascii="仿宋" w:hAnsi="仿宋" w:eastAsia="仿宋" w:cs="宋体"/>
          <w:bCs/>
          <w:color w:val="000000"/>
          <w:sz w:val="32"/>
          <w:szCs w:val="32"/>
          <w:lang w:val="en-US" w:eastAsia="zh-CN"/>
        </w:rPr>
        <w:t>4</w:t>
      </w:r>
      <w:r>
        <w:rPr>
          <w:rFonts w:hint="eastAsia" w:ascii="仿宋" w:hAnsi="仿宋" w:eastAsia="仿宋" w:cs="宋体"/>
          <w:bCs/>
          <w:color w:val="000000"/>
          <w:sz w:val="32"/>
          <w:szCs w:val="32"/>
        </w:rPr>
        <w:t>]</w:t>
      </w:r>
      <w:r>
        <w:rPr>
          <w:rFonts w:hint="eastAsia" w:ascii="仿宋" w:hAnsi="仿宋" w:eastAsia="仿宋" w:cs="宋体"/>
          <w:bCs/>
          <w:color w:val="000000"/>
          <w:sz w:val="32"/>
          <w:szCs w:val="32"/>
          <w:lang w:val="en-US" w:eastAsia="zh-CN"/>
        </w:rPr>
        <w:t>1</w:t>
      </w:r>
      <w:r>
        <w:rPr>
          <w:rFonts w:hint="eastAsia" w:ascii="仿宋" w:hAnsi="仿宋" w:eastAsia="仿宋" w:cs="宋体"/>
          <w:bCs/>
          <w:color w:val="auto"/>
          <w:sz w:val="32"/>
          <w:szCs w:val="32"/>
          <w:lang w:val="en-US" w:eastAsia="zh-CN"/>
        </w:rPr>
        <w:t>023</w:t>
      </w:r>
      <w:r>
        <w:rPr>
          <w:rFonts w:hint="eastAsia" w:ascii="仿宋" w:hAnsi="仿宋" w:eastAsia="仿宋" w:cs="宋体"/>
          <w:bCs/>
          <w:color w:val="000000"/>
          <w:sz w:val="32"/>
          <w:szCs w:val="32"/>
        </w:rPr>
        <w:t>号），</w:t>
      </w:r>
      <w:r>
        <w:rPr>
          <w:rFonts w:hint="eastAsia" w:ascii="仿宋" w:hAnsi="仿宋" w:eastAsia="仿宋" w:cs="宋体"/>
          <w:bCs/>
          <w:color w:val="000000"/>
          <w:sz w:val="32"/>
          <w:szCs w:val="32"/>
          <w:lang w:eastAsia="zh-CN"/>
        </w:rPr>
        <w:t>告</w:t>
      </w:r>
      <w:bookmarkStart w:id="0" w:name="_GoBack"/>
      <w:bookmarkEnd w:id="0"/>
      <w:r>
        <w:rPr>
          <w:rFonts w:hint="eastAsia" w:ascii="仿宋" w:hAnsi="仿宋" w:eastAsia="仿宋" w:cs="宋体"/>
          <w:bCs/>
          <w:color w:val="000000"/>
          <w:sz w:val="32"/>
          <w:szCs w:val="32"/>
          <w:lang w:eastAsia="zh-CN"/>
        </w:rPr>
        <w:t>知了本</w:t>
      </w:r>
      <w:r>
        <w:rPr>
          <w:rFonts w:hint="eastAsia" w:ascii="仿宋" w:hAnsi="仿宋" w:eastAsia="仿宋" w:cs="宋体"/>
          <w:bCs/>
          <w:color w:val="000000"/>
          <w:sz w:val="32"/>
          <w:szCs w:val="32"/>
        </w:rPr>
        <w:t>局拟作出行政处罚的内容及事实、理由、依据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bCs/>
          <w:color w:val="000000"/>
          <w:sz w:val="32"/>
          <w:szCs w:val="32"/>
        </w:rPr>
        <w:t>当事人自收到该告知书之日起五个工作日内未行使陈述、申辩权</w:t>
      </w:r>
      <w:r>
        <w:rPr>
          <w:rFonts w:hint="eastAsia" w:ascii="仿宋" w:hAnsi="仿宋" w:eastAsia="仿宋" w:cs="宋体"/>
          <w:bCs/>
          <w:color w:val="000000"/>
          <w:sz w:val="32"/>
          <w:szCs w:val="32"/>
          <w:lang w:eastAsia="zh-CN"/>
        </w:rPr>
        <w:t>，未要求听证</w:t>
      </w:r>
      <w:r>
        <w:rPr>
          <w:rFonts w:hint="eastAsia" w:ascii="仿宋" w:hAnsi="仿宋" w:eastAsia="仿宋" w:cs="宋体"/>
          <w:bCs/>
          <w:color w:val="000000"/>
          <w:sz w:val="32"/>
          <w:szCs w:val="32"/>
        </w:rPr>
        <w:t>。</w:t>
      </w:r>
    </w:p>
    <w:p>
      <w:pPr>
        <w:spacing w:line="240" w:lineRule="atLeast"/>
        <w:ind w:firstLine="640" w:firstLineChars="200"/>
        <w:rPr>
          <w:rFonts w:ascii="仿宋" w:hAnsi="仿宋" w:eastAsia="仿宋" w:cs="仿宋"/>
          <w:bCs/>
          <w:color w:val="000000"/>
          <w:sz w:val="32"/>
          <w:szCs w:val="32"/>
        </w:rPr>
      </w:pPr>
      <w:r>
        <w:rPr>
          <w:rFonts w:hint="eastAsia" w:ascii="仿宋" w:hAnsi="仿宋" w:eastAsia="仿宋" w:cs="宋体"/>
          <w:bCs/>
          <w:color w:val="000000"/>
          <w:sz w:val="32"/>
          <w:szCs w:val="32"/>
        </w:rPr>
        <w:t xml:space="preserve">本局认为，当事人的上述行为违反了《药品经营和使用质量监督管理办法》第四十二条第一款：“药品零售企业应当遵守国家处方药与非处方药分类管理制度，按规定凭处方销售处方药，处方保留不少于五年。”的规定，属于未按规定凭处方销售处方药的违法行为。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pPr>
        <w:spacing w:line="240" w:lineRule="atLeast"/>
        <w:ind w:firstLine="640"/>
        <w:jc w:val="left"/>
        <w:rPr>
          <w:rFonts w:hint="eastAsia" w:ascii="仿宋" w:hAnsi="仿宋" w:eastAsia="仿宋" w:cs="楷体_GB2312"/>
          <w:bCs/>
          <w:color w:val="000000"/>
          <w:sz w:val="32"/>
          <w:szCs w:val="32"/>
        </w:rPr>
      </w:pPr>
      <w:r>
        <w:rPr>
          <w:rFonts w:hint="eastAsia" w:ascii="仿宋" w:hAnsi="仿宋" w:eastAsia="仿宋" w:cs="楷体_GB2312"/>
          <w:bCs/>
          <w:color w:val="000000"/>
          <w:sz w:val="32"/>
          <w:szCs w:val="32"/>
        </w:rPr>
        <w:t xml:space="preserve">当事人未按规定凭处方销售处方药的违法行为，违反了《药品经营和使用质量监督管理办法》第四十二条第一款的规定，依据《药品经营和使用质量监督管理办法》第七十二条第（一）项的规定，应予以行政处罚。鉴于当事人事后积极配合市场监督管理部门调查，如实陈述违法事实，并主动提供证据材料；依据《河北省市场监督管理系统行政处罚裁量权适用规则》第十五条第（二）项的规定，对当事人可以依法从轻行政处罚。           </w:t>
      </w:r>
    </w:p>
    <w:p>
      <w:pPr>
        <w:spacing w:line="240" w:lineRule="atLeast"/>
        <w:ind w:firstLine="640"/>
        <w:jc w:val="left"/>
        <w:rPr>
          <w:rFonts w:ascii="仿宋" w:hAnsi="仿宋" w:eastAsia="仿宋" w:cs="楷体_GB2312"/>
          <w:bCs/>
          <w:color w:val="000000"/>
          <w:sz w:val="32"/>
          <w:szCs w:val="32"/>
        </w:rPr>
      </w:pPr>
      <w:r>
        <w:rPr>
          <w:rFonts w:hint="eastAsia" w:ascii="仿宋" w:hAnsi="仿宋" w:eastAsia="仿宋" w:cs="楷体_GB2312"/>
          <w:bCs/>
          <w:color w:val="000000"/>
          <w:sz w:val="32"/>
          <w:szCs w:val="32"/>
        </w:rPr>
        <w:t>结合案件实际情况，经综合考量给予当事人</w:t>
      </w:r>
      <w:r>
        <w:rPr>
          <w:rFonts w:hint="eastAsia" w:ascii="仿宋" w:hAnsi="仿宋" w:eastAsia="仿宋" w:cs="楷体_GB2312"/>
          <w:bCs/>
          <w:color w:val="000000"/>
          <w:sz w:val="32"/>
          <w:szCs w:val="32"/>
          <w:lang w:eastAsia="zh-CN"/>
        </w:rPr>
        <w:t>从轻</w:t>
      </w:r>
      <w:r>
        <w:rPr>
          <w:rFonts w:hint="eastAsia" w:ascii="仿宋" w:hAnsi="仿宋" w:eastAsia="仿宋" w:cs="楷体_GB2312"/>
          <w:bCs/>
          <w:color w:val="000000"/>
          <w:sz w:val="32"/>
          <w:szCs w:val="32"/>
        </w:rPr>
        <w:t>行政处罚。</w:t>
      </w:r>
      <w:r>
        <w:rPr>
          <w:rFonts w:hint="eastAsia" w:ascii="仿宋" w:hAnsi="仿宋" w:eastAsia="仿宋" w:cs="??_GB2312"/>
          <w:sz w:val="32"/>
          <w:szCs w:val="32"/>
        </w:rPr>
        <w:t xml:space="preserve">  </w:t>
      </w:r>
      <w:r>
        <w:rPr>
          <w:rFonts w:ascii="仿宋" w:hAnsi="仿宋" w:eastAsia="仿宋" w:cs="楷体_GB2312"/>
          <w:bCs/>
          <w:color w:val="000000"/>
          <w:sz w:val="32"/>
          <w:szCs w:val="32"/>
        </w:rPr>
        <w:t xml:space="preserve">   </w:t>
      </w:r>
      <w:r>
        <w:rPr>
          <w:rFonts w:hint="eastAsia" w:ascii="仿宋" w:hAnsi="仿宋" w:eastAsia="仿宋" w:cs="楷体_GB2312"/>
          <w:bCs/>
          <w:color w:val="000000"/>
          <w:sz w:val="32"/>
          <w:szCs w:val="32"/>
        </w:rPr>
        <w:t xml:space="preserve">     </w:t>
      </w:r>
      <w:r>
        <w:rPr>
          <w:rFonts w:ascii="仿宋" w:hAnsi="仿宋" w:eastAsia="仿宋" w:cs="楷体_GB2312"/>
          <w:bCs/>
          <w:color w:val="000000"/>
          <w:sz w:val="32"/>
          <w:szCs w:val="32"/>
        </w:rPr>
        <w:t xml:space="preserve">                         </w:t>
      </w:r>
    </w:p>
    <w:p>
      <w:pPr>
        <w:spacing w:line="240" w:lineRule="atLeast"/>
        <w:ind w:firstLine="640" w:firstLineChars="200"/>
        <w:rPr>
          <w:rFonts w:ascii="仿宋" w:hAnsi="仿宋" w:eastAsia="仿宋" w:cs="宋体"/>
          <w:bCs/>
          <w:color w:val="000000"/>
          <w:sz w:val="32"/>
          <w:szCs w:val="32"/>
        </w:rPr>
      </w:pPr>
      <w:r>
        <w:rPr>
          <w:rFonts w:hint="eastAsia" w:ascii="仿宋" w:hAnsi="仿宋" w:eastAsia="仿宋" w:cs="楷体_GB2312"/>
          <w:color w:val="000000"/>
          <w:sz w:val="32"/>
          <w:szCs w:val="32"/>
        </w:rPr>
        <w:t>综上，</w:t>
      </w:r>
      <w:r>
        <w:rPr>
          <w:rFonts w:hint="eastAsia" w:ascii="仿宋" w:hAnsi="仿宋" w:eastAsia="仿宋" w:cs="楷体_GB2312"/>
          <w:color w:val="000000"/>
          <w:sz w:val="32"/>
          <w:szCs w:val="32"/>
          <w:lang w:eastAsia="zh-CN"/>
        </w:rPr>
        <w:t>对当事人未按规定凭处方销售处方药的违法行为，依据《药品经营和使用质量监督管理办法》第七十二条第（一）项：“药品零售企业有以下情形之一的，由药品监督管理部门责令限期改正；逾期不改正的，处五千元以上五万元以下罚款；造成危害后果的，处五万元以上二十万元以下罚款：（一）未按规定凭处方销售处方药的。”的规定，参照《河北省市场监督管理系统行政处罚裁量权适用规则》第十五条第（二）的规定</w:t>
      </w:r>
      <w:r>
        <w:rPr>
          <w:rFonts w:hint="eastAsia" w:ascii="仿宋" w:hAnsi="仿宋" w:eastAsia="仿宋" w:cs="宋体"/>
          <w:bCs/>
          <w:color w:val="000000"/>
          <w:sz w:val="32"/>
          <w:szCs w:val="32"/>
        </w:rPr>
        <w:t xml:space="preserve">，责令当事人改正上述违法行为，并决定处罚如下： </w:t>
      </w:r>
    </w:p>
    <w:p>
      <w:pPr>
        <w:spacing w:line="240" w:lineRule="atLeast"/>
        <w:ind w:firstLine="640" w:firstLineChars="200"/>
        <w:rPr>
          <w:rFonts w:ascii="仿宋" w:hAnsi="仿宋" w:eastAsia="仿宋" w:cs="楷体_GB2312"/>
          <w:bCs/>
          <w:color w:val="000000"/>
          <w:sz w:val="32"/>
          <w:szCs w:val="32"/>
        </w:rPr>
      </w:pPr>
      <w:r>
        <w:rPr>
          <w:rFonts w:hint="eastAsia" w:ascii="仿宋" w:hAnsi="仿宋" w:eastAsia="仿宋" w:cs="宋体"/>
          <w:bCs/>
          <w:color w:val="000000"/>
          <w:sz w:val="32"/>
          <w:szCs w:val="32"/>
        </w:rPr>
        <w:t xml:space="preserve"> 罚款人民币伍仟壹佰元整（5100元）。 </w:t>
      </w:r>
      <w:r>
        <w:rPr>
          <w:rFonts w:hint="eastAsia" w:ascii="仿宋" w:hAnsi="仿宋" w:eastAsia="仿宋" w:cs="楷体_GB2312"/>
          <w:color w:val="000000"/>
          <w:sz w:val="32"/>
          <w:szCs w:val="32"/>
        </w:rPr>
        <w:t xml:space="preserve">                                                    </w:t>
      </w:r>
      <w:r>
        <w:rPr>
          <w:rFonts w:ascii="仿宋" w:hAnsi="仿宋" w:eastAsia="仿宋" w:cs="楷体_GB2312"/>
          <w:color w:val="000000"/>
          <w:sz w:val="32"/>
          <w:szCs w:val="32"/>
        </w:rPr>
        <w:t xml:space="preserve">                   </w:t>
      </w:r>
      <w:r>
        <w:rPr>
          <w:rFonts w:hint="eastAsia" w:ascii="仿宋" w:hAnsi="仿宋" w:eastAsia="仿宋" w:cs="楷体_GB2312"/>
          <w:color w:val="000000"/>
          <w:sz w:val="32"/>
          <w:szCs w:val="32"/>
        </w:rPr>
        <w:t xml:space="preserve">    </w:t>
      </w:r>
      <w:r>
        <w:rPr>
          <w:rFonts w:ascii="仿宋" w:hAnsi="仿宋" w:eastAsia="仿宋" w:cs="楷体_GB2312"/>
          <w:color w:val="000000"/>
          <w:sz w:val="32"/>
          <w:szCs w:val="32"/>
        </w:rPr>
        <w:t xml:space="preserve">  </w:t>
      </w:r>
    </w:p>
    <w:p>
      <w:pPr>
        <w:autoSpaceDE w:val="0"/>
        <w:autoSpaceDN w:val="0"/>
        <w:adjustRightInd w:val="0"/>
        <w:spacing w:after="20" w:line="240" w:lineRule="atLeast"/>
        <w:ind w:firstLine="640" w:firstLineChars="200"/>
        <w:jc w:val="left"/>
        <w:rPr>
          <w:rFonts w:hint="eastAsia" w:ascii="仿宋" w:hAnsi="仿宋" w:eastAsia="仿宋" w:cs="宋体"/>
          <w:sz w:val="32"/>
          <w:szCs w:val="32"/>
        </w:rPr>
      </w:pPr>
      <w:r>
        <w:rPr>
          <w:rFonts w:hint="eastAsia" w:ascii="仿宋" w:hAnsi="仿宋" w:eastAsia="仿宋" w:cs="宋体"/>
          <w:sz w:val="32"/>
          <w:szCs w:val="32"/>
        </w:rPr>
        <w:t>当事人应当自收到本处罚决定书之日起十五日内，将罚没款缴至秦皇岛银行金财支行（账户名称：秦皇岛市财政局）；到期不缴纳罚款的，依据《中华人民共和国行政处罚法》第七十二条的规定，本局将每日按罚款数额的</w:t>
      </w:r>
      <w:r>
        <w:rPr>
          <w:rFonts w:hint="eastAsia" w:ascii="仿宋" w:hAnsi="仿宋" w:eastAsia="仿宋" w:cs="宋体"/>
          <w:sz w:val="32"/>
          <w:szCs w:val="32"/>
          <w:lang w:eastAsia="zh-CN"/>
        </w:rPr>
        <w:t>3%</w:t>
      </w:r>
      <w:r>
        <w:rPr>
          <w:rFonts w:hint="eastAsia" w:ascii="仿宋" w:hAnsi="仿宋" w:eastAsia="仿宋" w:cs="宋体"/>
          <w:sz w:val="32"/>
          <w:szCs w:val="32"/>
        </w:rPr>
        <w:t xml:space="preserve">加处罚款，并依法申请人民法院强制执行。                                                                                                                                                           </w:t>
      </w:r>
    </w:p>
    <w:p>
      <w:pPr>
        <w:autoSpaceDE w:val="0"/>
        <w:autoSpaceDN w:val="0"/>
        <w:adjustRightInd w:val="0"/>
        <w:spacing w:after="20" w:line="240" w:lineRule="atLeast"/>
        <w:ind w:firstLine="640" w:firstLineChars="200"/>
        <w:jc w:val="left"/>
        <w:rPr>
          <w:rFonts w:hint="eastAsia"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w:t>
      </w:r>
      <w:r>
        <w:rPr>
          <w:rFonts w:hint="eastAsia" w:ascii="仿宋" w:hAnsi="仿宋" w:eastAsia="仿宋" w:cs="宋体"/>
          <w:sz w:val="32"/>
          <w:szCs w:val="32"/>
          <w:lang w:eastAsia="zh-CN"/>
        </w:rPr>
        <w:t>市人民政府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line="240" w:lineRule="atLeast"/>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p>
    <w:p>
      <w:pPr>
        <w:adjustRightInd w:val="0"/>
        <w:snapToGrid w:val="0"/>
        <w:spacing w:line="240" w:lineRule="atLeast"/>
        <w:ind w:right="640"/>
        <w:jc w:val="both"/>
        <w:textAlignment w:val="baseline"/>
        <w:rPr>
          <w:rFonts w:hint="eastAsia" w:ascii="仿宋" w:hAnsi="仿宋" w:eastAsia="仿宋" w:cs="宋体"/>
          <w:color w:val="000000"/>
          <w:sz w:val="32"/>
          <w:szCs w:val="32"/>
        </w:rPr>
      </w:pPr>
    </w:p>
    <w:p>
      <w:pPr>
        <w:adjustRightInd w:val="0"/>
        <w:snapToGrid w:val="0"/>
        <w:spacing w:line="240" w:lineRule="atLeast"/>
        <w:ind w:right="640"/>
        <w:jc w:val="right"/>
        <w:textAlignment w:val="baseline"/>
        <w:rPr>
          <w:rFonts w:hint="eastAsia" w:ascii="仿宋" w:hAnsi="仿宋" w:eastAsia="仿宋" w:cs="宋体"/>
          <w:color w:val="000000"/>
          <w:sz w:val="32"/>
          <w:szCs w:val="32"/>
        </w:rPr>
      </w:pPr>
    </w:p>
    <w:p>
      <w:pPr>
        <w:adjustRightInd w:val="0"/>
        <w:snapToGrid w:val="0"/>
        <w:spacing w:line="240" w:lineRule="atLeast"/>
        <w:ind w:right="640"/>
        <w:jc w:val="right"/>
        <w:textAlignment w:val="baseline"/>
        <w:rPr>
          <w:rFonts w:hint="eastAsia" w:ascii="仿宋" w:hAnsi="仿宋" w:eastAsia="仿宋" w:cs="宋体"/>
          <w:color w:val="000000"/>
          <w:sz w:val="32"/>
          <w:szCs w:val="32"/>
        </w:rPr>
      </w:pPr>
    </w:p>
    <w:p>
      <w:pPr>
        <w:adjustRightInd w:val="0"/>
        <w:snapToGrid w:val="0"/>
        <w:spacing w:line="240" w:lineRule="atLeast"/>
        <w:ind w:right="640"/>
        <w:jc w:val="right"/>
        <w:textAlignment w:val="baseline"/>
        <w:rPr>
          <w:rFonts w:hint="eastAsia" w:ascii="仿宋" w:hAnsi="仿宋" w:eastAsia="仿宋" w:cs="宋体"/>
          <w:color w:val="000000"/>
          <w:sz w:val="32"/>
          <w:szCs w:val="32"/>
        </w:rPr>
      </w:pPr>
    </w:p>
    <w:p>
      <w:pPr>
        <w:adjustRightInd w:val="0"/>
        <w:snapToGrid w:val="0"/>
        <w:spacing w:line="240" w:lineRule="atLeast"/>
        <w:ind w:right="640"/>
        <w:jc w:val="right"/>
        <w:textAlignment w:val="baseline"/>
        <w:rPr>
          <w:rFonts w:hint="eastAsia" w:ascii="仿宋" w:hAnsi="仿宋" w:eastAsia="仿宋" w:cs="宋体"/>
          <w:color w:val="000000"/>
          <w:sz w:val="32"/>
          <w:szCs w:val="32"/>
        </w:rPr>
      </w:pPr>
    </w:p>
    <w:p>
      <w:pPr>
        <w:adjustRightInd w:val="0"/>
        <w:snapToGrid w:val="0"/>
        <w:spacing w:line="240" w:lineRule="atLeast"/>
        <w:ind w:right="640"/>
        <w:jc w:val="righ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spacing w:line="240" w:lineRule="atLeas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themeColor="text1"/>
          <w:sz w:val="32"/>
          <w:szCs w:val="32"/>
          <w:lang w:val="en-US" w:eastAsia="zh-CN"/>
        </w:rPr>
        <w:t xml:space="preserve">                          2024</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6</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5</w:t>
      </w:r>
      <w:r>
        <w:rPr>
          <w:rFonts w:hint="eastAsia" w:ascii="仿宋" w:hAnsi="仿宋" w:eastAsia="仿宋" w:cs="宋体"/>
          <w:color w:val="000000" w:themeColor="text1"/>
          <w:sz w:val="32"/>
          <w:szCs w:val="32"/>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9" o:spid="_x0000_s1029"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仿宋" w:hAnsi="仿宋" w:eastAsia="仿宋" w:cstheme="minorEastAsia"/>
          <w:color w:val="000000"/>
          <w:sz w:val="32"/>
          <w:szCs w:val="32"/>
        </w:rPr>
      </w:pPr>
      <w:r>
        <w:rPr>
          <w:rFonts w:ascii="仿宋" w:hAnsi="仿宋" w:eastAsia="仿宋" w:cs="宋体"/>
          <w:sz w:val="32"/>
          <w:szCs w:val="32"/>
          <w:u w:val="single"/>
        </w:rPr>
        <w:pict>
          <v:line id="_x0000_s1030" o:spid="_x0000_s1030"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74"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zYjkwMjQwMzYwYmM5YjgzODc2YTI3NTM5MGUxM2EifQ=="/>
    <w:docVar w:name="KSO_WPS_MARK_KEY" w:val="374055b8-fbd0-407c-a005-46dd53b77512"/>
  </w:docVars>
  <w:rsids>
    <w:rsidRoot w:val="00261B45"/>
    <w:rsid w:val="00020638"/>
    <w:rsid w:val="0003337C"/>
    <w:rsid w:val="00081C4C"/>
    <w:rsid w:val="0017746D"/>
    <w:rsid w:val="001D64C4"/>
    <w:rsid w:val="00261B45"/>
    <w:rsid w:val="002B07B9"/>
    <w:rsid w:val="003861B2"/>
    <w:rsid w:val="003D14F3"/>
    <w:rsid w:val="003E59AF"/>
    <w:rsid w:val="004A2270"/>
    <w:rsid w:val="004F2F16"/>
    <w:rsid w:val="00522859"/>
    <w:rsid w:val="00545F90"/>
    <w:rsid w:val="005812F4"/>
    <w:rsid w:val="005A1325"/>
    <w:rsid w:val="00601471"/>
    <w:rsid w:val="00612EA9"/>
    <w:rsid w:val="00630D40"/>
    <w:rsid w:val="007F7427"/>
    <w:rsid w:val="008228B9"/>
    <w:rsid w:val="008337AA"/>
    <w:rsid w:val="008717EB"/>
    <w:rsid w:val="00925A9B"/>
    <w:rsid w:val="00934C3A"/>
    <w:rsid w:val="00940A04"/>
    <w:rsid w:val="0097082C"/>
    <w:rsid w:val="009F19C5"/>
    <w:rsid w:val="009F212A"/>
    <w:rsid w:val="00A06519"/>
    <w:rsid w:val="00A178AB"/>
    <w:rsid w:val="00B44BED"/>
    <w:rsid w:val="00BA08A0"/>
    <w:rsid w:val="00BD5B48"/>
    <w:rsid w:val="00C14840"/>
    <w:rsid w:val="00C573C9"/>
    <w:rsid w:val="00C70B57"/>
    <w:rsid w:val="00C80EBC"/>
    <w:rsid w:val="00CE36D2"/>
    <w:rsid w:val="00CE6A5B"/>
    <w:rsid w:val="00D06CF4"/>
    <w:rsid w:val="00D10D49"/>
    <w:rsid w:val="00DB5217"/>
    <w:rsid w:val="00DF7872"/>
    <w:rsid w:val="00E12E17"/>
    <w:rsid w:val="00E246BC"/>
    <w:rsid w:val="00E40DEB"/>
    <w:rsid w:val="00EF02BE"/>
    <w:rsid w:val="00F232C3"/>
    <w:rsid w:val="00F270F6"/>
    <w:rsid w:val="00FB229E"/>
    <w:rsid w:val="00FF2AD2"/>
    <w:rsid w:val="05A3218F"/>
    <w:rsid w:val="05CC64B2"/>
    <w:rsid w:val="078E5D2B"/>
    <w:rsid w:val="094F00EF"/>
    <w:rsid w:val="09E94680"/>
    <w:rsid w:val="0B084B61"/>
    <w:rsid w:val="0D4B051E"/>
    <w:rsid w:val="0DA04C5C"/>
    <w:rsid w:val="0E100F06"/>
    <w:rsid w:val="0E550772"/>
    <w:rsid w:val="0EFE2AE5"/>
    <w:rsid w:val="0F1828C4"/>
    <w:rsid w:val="10AE04DF"/>
    <w:rsid w:val="11111062"/>
    <w:rsid w:val="112F3D99"/>
    <w:rsid w:val="1326357C"/>
    <w:rsid w:val="13D71D2B"/>
    <w:rsid w:val="14DF3FA4"/>
    <w:rsid w:val="16051582"/>
    <w:rsid w:val="16D056D6"/>
    <w:rsid w:val="17433EC1"/>
    <w:rsid w:val="1844012A"/>
    <w:rsid w:val="18F14FE3"/>
    <w:rsid w:val="1967313B"/>
    <w:rsid w:val="1CD667D0"/>
    <w:rsid w:val="1D317801"/>
    <w:rsid w:val="1E937BB8"/>
    <w:rsid w:val="1EA76716"/>
    <w:rsid w:val="1F7C2C8E"/>
    <w:rsid w:val="1FA93713"/>
    <w:rsid w:val="1FDC5D5D"/>
    <w:rsid w:val="20522F5E"/>
    <w:rsid w:val="21276BA7"/>
    <w:rsid w:val="220A4192"/>
    <w:rsid w:val="22E26EBD"/>
    <w:rsid w:val="23490CEA"/>
    <w:rsid w:val="23627A12"/>
    <w:rsid w:val="237635F6"/>
    <w:rsid w:val="23C6233B"/>
    <w:rsid w:val="24412625"/>
    <w:rsid w:val="24D97E4C"/>
    <w:rsid w:val="27087A8C"/>
    <w:rsid w:val="27C57355"/>
    <w:rsid w:val="2B5F1D03"/>
    <w:rsid w:val="2BAB3E69"/>
    <w:rsid w:val="2CE02D8A"/>
    <w:rsid w:val="2D2A393B"/>
    <w:rsid w:val="31B163D9"/>
    <w:rsid w:val="322F2560"/>
    <w:rsid w:val="3230077C"/>
    <w:rsid w:val="32F6606D"/>
    <w:rsid w:val="332B0929"/>
    <w:rsid w:val="338024EF"/>
    <w:rsid w:val="349B6ECC"/>
    <w:rsid w:val="350C42EE"/>
    <w:rsid w:val="364517E5"/>
    <w:rsid w:val="377759CE"/>
    <w:rsid w:val="377F7B98"/>
    <w:rsid w:val="37E27EDE"/>
    <w:rsid w:val="38A72FFF"/>
    <w:rsid w:val="397F78D6"/>
    <w:rsid w:val="39AB7BB1"/>
    <w:rsid w:val="3B2A4027"/>
    <w:rsid w:val="3BE10512"/>
    <w:rsid w:val="3BE502CD"/>
    <w:rsid w:val="3C300842"/>
    <w:rsid w:val="3DC833B9"/>
    <w:rsid w:val="3E0A2A13"/>
    <w:rsid w:val="40DD0D6F"/>
    <w:rsid w:val="41B234F8"/>
    <w:rsid w:val="42917831"/>
    <w:rsid w:val="431542ED"/>
    <w:rsid w:val="43561478"/>
    <w:rsid w:val="43592C00"/>
    <w:rsid w:val="440E65C1"/>
    <w:rsid w:val="44612D2C"/>
    <w:rsid w:val="446465AC"/>
    <w:rsid w:val="45183DB8"/>
    <w:rsid w:val="45471CC1"/>
    <w:rsid w:val="458D460F"/>
    <w:rsid w:val="45BC42A2"/>
    <w:rsid w:val="47013C63"/>
    <w:rsid w:val="4711663E"/>
    <w:rsid w:val="47DB5022"/>
    <w:rsid w:val="4A611156"/>
    <w:rsid w:val="4B884208"/>
    <w:rsid w:val="4CD314A1"/>
    <w:rsid w:val="4D0E4C96"/>
    <w:rsid w:val="4E5A5650"/>
    <w:rsid w:val="4EBE1CDD"/>
    <w:rsid w:val="4F166417"/>
    <w:rsid w:val="4FB4732F"/>
    <w:rsid w:val="508068B8"/>
    <w:rsid w:val="52E22C40"/>
    <w:rsid w:val="549963A5"/>
    <w:rsid w:val="54E6416D"/>
    <w:rsid w:val="558A777C"/>
    <w:rsid w:val="55EF56E5"/>
    <w:rsid w:val="567A120C"/>
    <w:rsid w:val="568D0913"/>
    <w:rsid w:val="58FB076B"/>
    <w:rsid w:val="5B480E52"/>
    <w:rsid w:val="5B6D4711"/>
    <w:rsid w:val="5C5869BC"/>
    <w:rsid w:val="5D7968C1"/>
    <w:rsid w:val="5DE72E35"/>
    <w:rsid w:val="5F9C5F6A"/>
    <w:rsid w:val="5FB05719"/>
    <w:rsid w:val="603C2B05"/>
    <w:rsid w:val="62C84A71"/>
    <w:rsid w:val="62FE7AC1"/>
    <w:rsid w:val="63384043"/>
    <w:rsid w:val="63B3128D"/>
    <w:rsid w:val="63BA324D"/>
    <w:rsid w:val="652E4ACF"/>
    <w:rsid w:val="65B200AB"/>
    <w:rsid w:val="66C814F3"/>
    <w:rsid w:val="66FF284C"/>
    <w:rsid w:val="675853C5"/>
    <w:rsid w:val="68923C20"/>
    <w:rsid w:val="68F91E38"/>
    <w:rsid w:val="69E07153"/>
    <w:rsid w:val="6AF73CDD"/>
    <w:rsid w:val="6BF55FC2"/>
    <w:rsid w:val="6D0B448D"/>
    <w:rsid w:val="6E1A0590"/>
    <w:rsid w:val="6E716696"/>
    <w:rsid w:val="6E783501"/>
    <w:rsid w:val="6EE02787"/>
    <w:rsid w:val="6F8A1A3C"/>
    <w:rsid w:val="6FCF30CF"/>
    <w:rsid w:val="709D2F56"/>
    <w:rsid w:val="717F719C"/>
    <w:rsid w:val="71B4761C"/>
    <w:rsid w:val="71ED0060"/>
    <w:rsid w:val="73011F50"/>
    <w:rsid w:val="73DB5EE4"/>
    <w:rsid w:val="74EA5B80"/>
    <w:rsid w:val="74EC0AA3"/>
    <w:rsid w:val="75AB20A9"/>
    <w:rsid w:val="772E5BE4"/>
    <w:rsid w:val="79746A30"/>
    <w:rsid w:val="7A1C4ECC"/>
    <w:rsid w:val="7BB045D8"/>
    <w:rsid w:val="7C886C64"/>
    <w:rsid w:val="7CB5248E"/>
    <w:rsid w:val="7CC74C68"/>
    <w:rsid w:val="7D9A64D2"/>
    <w:rsid w:val="7E5F4B53"/>
    <w:rsid w:val="7EDA77F4"/>
    <w:rsid w:val="7F0A0CB3"/>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E0CF7-E1E0-4651-AD7D-05B1ADF26BA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2392</Words>
  <Characters>2566</Characters>
  <Lines>8</Lines>
  <Paragraphs>5</Paragraphs>
  <TotalTime>4</TotalTime>
  <ScaleCrop>false</ScaleCrop>
  <LinksUpToDate>false</LinksUpToDate>
  <CharactersWithSpaces>3479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简单办公丶皎舟</cp:lastModifiedBy>
  <cp:lastPrinted>2023-08-22T07:46:00Z</cp:lastPrinted>
  <dcterms:modified xsi:type="dcterms:W3CDTF">2024-06-05T01:05:40Z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331E67A037634590AA3C1F91CCBBB972</vt:lpwstr>
  </property>
</Properties>
</file>