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wordWrap w:val="0"/>
        <w:snapToGrid w:val="0"/>
        <w:spacing w:beforeLines="100" w:afterLines="100" w:line="520" w:lineRule="exact"/>
        <w:jc w:val="center"/>
        <w:rPr>
          <w:rFonts w:ascii="仿宋" w:hAnsi="仿宋" w:eastAsia="仿宋" w:cs="仿宋"/>
          <w:color w:val="000000"/>
          <w:sz w:val="32"/>
          <w:szCs w:val="32"/>
          <w:u w:val="none"/>
        </w:rPr>
      </w:pPr>
      <w:r>
        <w:rPr>
          <w:rFonts w:ascii="仿宋" w:hAnsi="仿宋" w:eastAsia="仿宋" w:cs="Times New Roman"/>
          <w:szCs w:val="24"/>
          <w:u w:val="none"/>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5761990" cy="1270"/>
                        </a:xfrm>
                        <a:prstGeom prst="straightConnector1">
                          <a:avLst/>
                        </a:prstGeom>
                        <a:noFill/>
                        <a:ln w="19050" cap="sq">
                          <a:solidFill>
                            <a:srgbClr val="000000"/>
                          </a:solidFill>
                          <a:round/>
                        </a:ln>
                        <a:effectLst/>
                      </wps:spPr>
                      <wps:bodyPr/>
                    </wps:wsp>
                  </a:graphicData>
                </a:graphic>
              </wp:anchor>
            </w:drawing>
          </mc:Choice>
          <mc:Fallback>
            <w:pict>
              <v:shape id="_x0000_s1026" o:spid="_x0000_s1026" o:spt="32" type="#_x0000_t32" style="position:absolute;left:0pt;margin-left:2pt;margin-top:1638pt;height:0.1pt;width:453.7pt;z-index:251660288;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PK4rHQQCAADZAwAADgAAAAAAAAABACAAAAAp&#10;AQAAZHJzL2Uyb0RvYy54bWxQSwUGAAAAAAYABgBZAQAAnwUAAAAA&#10;">
                <v:fill on="f" focussize="0,0"/>
                <v:stroke weight="1.5pt" color="#000000" joinstyle="round" endcap="square"/>
                <v:imagedata o:title=""/>
                <o:lock v:ext="edit" aspectratio="f"/>
              </v:shape>
            </w:pict>
          </mc:Fallback>
        </mc:AlternateContent>
      </w:r>
      <w:r>
        <w:rPr>
          <w:rFonts w:ascii="仿宋" w:hAnsi="仿宋" w:eastAsia="仿宋" w:cs="仿宋"/>
          <w:color w:val="000000"/>
          <w:sz w:val="32"/>
          <w:szCs w:val="32"/>
          <w:u w:val="none"/>
        </w:rPr>
        <w:t xml:space="preserve">  </w:t>
      </w:r>
      <w:r>
        <w:rPr>
          <w:rFonts w:hint="eastAsia" w:ascii="仿宋" w:hAnsi="仿宋" w:eastAsia="仿宋" w:cs="仿宋"/>
          <w:color w:val="000000"/>
          <w:sz w:val="32"/>
          <w:szCs w:val="32"/>
          <w:u w:val="none"/>
        </w:rPr>
        <w:t>秦</w:t>
      </w:r>
      <w:r>
        <w:rPr>
          <w:rFonts w:hint="eastAsia" w:ascii="仿宋" w:hAnsi="仿宋" w:eastAsia="仿宋" w:cs="宋体"/>
          <w:color w:val="000000"/>
          <w:sz w:val="32"/>
          <w:szCs w:val="32"/>
          <w:u w:val="none"/>
        </w:rPr>
        <w:t>市监</w:t>
      </w:r>
      <w:r>
        <w:rPr>
          <w:rFonts w:hint="eastAsia" w:ascii="仿宋" w:hAnsi="仿宋" w:eastAsia="仿宋" w:cs="仿宋"/>
          <w:color w:val="000000"/>
          <w:sz w:val="32"/>
          <w:szCs w:val="32"/>
          <w:u w:val="none"/>
        </w:rPr>
        <w:t>处</w:t>
      </w:r>
      <w:r>
        <w:rPr>
          <w:rFonts w:hint="eastAsia" w:ascii="仿宋" w:hAnsi="仿宋" w:eastAsia="仿宋" w:cs="仿宋"/>
          <w:color w:val="000000"/>
          <w:sz w:val="32"/>
          <w:szCs w:val="32"/>
          <w:u w:val="none"/>
          <w:lang w:eastAsia="zh-CN"/>
        </w:rPr>
        <w:t>罚</w:t>
      </w:r>
      <w:r>
        <w:rPr>
          <w:rFonts w:hint="eastAsia" w:ascii="仿宋" w:hAnsi="仿宋" w:eastAsia="仿宋" w:cs="宋体"/>
          <w:color w:val="000000"/>
          <w:sz w:val="32"/>
          <w:szCs w:val="32"/>
          <w:u w:val="none"/>
        </w:rPr>
        <w:t>〔</w:t>
      </w:r>
      <w:r>
        <w:rPr>
          <w:rFonts w:hint="eastAsia" w:ascii="仿宋" w:hAnsi="仿宋" w:eastAsia="仿宋" w:cs="仿宋"/>
          <w:color w:val="000000"/>
          <w:sz w:val="32"/>
          <w:szCs w:val="32"/>
          <w:u w:val="none"/>
        </w:rPr>
        <w:t>202</w:t>
      </w:r>
      <w:r>
        <w:rPr>
          <w:rFonts w:hint="eastAsia" w:ascii="仿宋" w:hAnsi="仿宋" w:eastAsia="仿宋" w:cs="仿宋"/>
          <w:color w:val="000000"/>
          <w:sz w:val="32"/>
          <w:szCs w:val="32"/>
          <w:u w:val="none"/>
          <w:lang w:val="en-US" w:eastAsia="zh-CN"/>
        </w:rPr>
        <w:t>4</w:t>
      </w:r>
      <w:r>
        <w:rPr>
          <w:rFonts w:hint="eastAsia" w:ascii="仿宋" w:hAnsi="仿宋" w:eastAsia="仿宋" w:cs="宋体"/>
          <w:color w:val="000000"/>
          <w:sz w:val="32"/>
          <w:szCs w:val="32"/>
          <w:u w:val="none"/>
        </w:rPr>
        <w:t>〕</w:t>
      </w:r>
      <w:r>
        <w:rPr>
          <w:rFonts w:hint="eastAsia" w:ascii="仿宋" w:hAnsi="仿宋" w:eastAsia="仿宋" w:cs="宋体"/>
          <w:color w:val="000000"/>
          <w:sz w:val="32"/>
          <w:szCs w:val="32"/>
          <w:u w:val="none"/>
          <w:lang w:val="en-US" w:eastAsia="zh-CN"/>
        </w:rPr>
        <w:t>1027</w:t>
      </w:r>
      <w:r>
        <w:rPr>
          <w:rFonts w:hint="eastAsia" w:ascii="仿宋" w:hAnsi="仿宋" w:eastAsia="仿宋" w:cs="宋体"/>
          <w:color w:val="auto"/>
          <w:sz w:val="32"/>
          <w:szCs w:val="32"/>
          <w:u w:val="none"/>
        </w:rPr>
        <w:t>号</w:t>
      </w:r>
    </w:p>
    <w:p>
      <w:pPr>
        <w:spacing w:line="520" w:lineRule="exact"/>
        <w:rPr>
          <w:rFonts w:hint="eastAsia" w:ascii="仿宋" w:hAnsi="仿宋" w:eastAsia="仿宋" w:cs="??_GB2312"/>
          <w:sz w:val="32"/>
          <w:szCs w:val="32"/>
          <w:u w:val="none"/>
          <w:lang w:eastAsia="zh-CN"/>
        </w:rPr>
      </w:pPr>
      <w:r>
        <w:rPr>
          <w:rFonts w:hint="eastAsia" w:ascii="仿宋" w:hAnsi="仿宋" w:eastAsia="仿宋" w:cs="??_GB2312"/>
          <w:sz w:val="32"/>
          <w:szCs w:val="32"/>
          <w:u w:val="none"/>
          <w:lang w:eastAsia="zh-CN"/>
        </w:rPr>
        <w:t>当事人：</w:t>
      </w:r>
      <w:r>
        <w:rPr>
          <w:rFonts w:hint="eastAsia" w:ascii="仿宋" w:hAnsi="仿宋" w:eastAsia="仿宋" w:cs="??_GB2312"/>
          <w:sz w:val="32"/>
          <w:szCs w:val="32"/>
          <w:u w:val="none"/>
          <w:lang w:val="en-US" w:eastAsia="zh-CN"/>
        </w:rPr>
        <w:t>秦皇岛开发区万岩超市</w:t>
      </w:r>
      <w:r>
        <w:rPr>
          <w:rFonts w:hint="eastAsia" w:ascii="仿宋" w:hAnsi="仿宋" w:eastAsia="仿宋" w:cs="??_GB2312"/>
          <w:sz w:val="32"/>
          <w:szCs w:val="32"/>
          <w:u w:val="none"/>
          <w:lang w:eastAsia="zh-CN"/>
        </w:rPr>
        <w:t>；</w:t>
      </w:r>
    </w:p>
    <w:p>
      <w:pPr>
        <w:spacing w:line="520" w:lineRule="exact"/>
        <w:rPr>
          <w:rFonts w:hint="eastAsia" w:ascii="仿宋" w:hAnsi="仿宋" w:eastAsia="仿宋" w:cs="??_GB2312"/>
          <w:sz w:val="32"/>
          <w:szCs w:val="32"/>
          <w:u w:val="none"/>
          <w:lang w:eastAsia="zh-CN"/>
        </w:rPr>
      </w:pPr>
      <w:r>
        <w:rPr>
          <w:rFonts w:hint="eastAsia" w:ascii="仿宋" w:hAnsi="仿宋" w:eastAsia="仿宋" w:cs="??_GB2312"/>
          <w:sz w:val="32"/>
          <w:szCs w:val="32"/>
          <w:u w:val="none"/>
          <w:lang w:eastAsia="zh-CN"/>
        </w:rPr>
        <w:t xml:space="preserve">主体资格证照名称：营业执照；                      </w:t>
      </w:r>
      <w:r>
        <w:rPr>
          <w:rFonts w:hint="eastAsia" w:ascii="仿宋" w:hAnsi="仿宋" w:eastAsia="仿宋" w:cs="??_GB2312"/>
          <w:sz w:val="32"/>
          <w:szCs w:val="32"/>
          <w:u w:val="none"/>
          <w:lang w:val="en-US" w:eastAsia="zh-CN"/>
        </w:rPr>
        <w:t xml:space="preserve"> </w:t>
      </w:r>
      <w:r>
        <w:rPr>
          <w:rFonts w:hint="eastAsia" w:ascii="仿宋" w:hAnsi="仿宋" w:eastAsia="仿宋" w:cs="??_GB2312"/>
          <w:sz w:val="32"/>
          <w:szCs w:val="32"/>
          <w:u w:val="none"/>
          <w:lang w:eastAsia="zh-CN"/>
        </w:rPr>
        <w:t xml:space="preserve">             </w:t>
      </w:r>
    </w:p>
    <w:p>
      <w:pPr>
        <w:spacing w:line="520" w:lineRule="exact"/>
        <w:rPr>
          <w:rFonts w:hint="eastAsia" w:ascii="仿宋" w:hAnsi="仿宋" w:eastAsia="仿宋" w:cs="??_GB2312"/>
          <w:sz w:val="32"/>
          <w:szCs w:val="32"/>
          <w:u w:val="none"/>
          <w:lang w:eastAsia="zh-CN"/>
        </w:rPr>
      </w:pPr>
      <w:r>
        <w:rPr>
          <w:rFonts w:hint="eastAsia" w:ascii="仿宋" w:hAnsi="仿宋" w:eastAsia="仿宋" w:cs="??_GB2312"/>
          <w:sz w:val="32"/>
          <w:szCs w:val="32"/>
          <w:u w:val="none"/>
          <w:lang w:eastAsia="zh-CN"/>
        </w:rPr>
        <w:t>统一社会信用代码：</w:t>
      </w:r>
      <w:r>
        <w:rPr>
          <w:rFonts w:hint="eastAsia" w:ascii="仿宋" w:hAnsi="仿宋" w:eastAsia="仿宋" w:cs="??_GB2312"/>
          <w:sz w:val="32"/>
          <w:szCs w:val="32"/>
          <w:u w:val="none"/>
          <w:lang w:val="en-US" w:eastAsia="zh-CN"/>
        </w:rPr>
        <w:t>92130301MA087FTJ3B；</w:t>
      </w:r>
      <w:r>
        <w:rPr>
          <w:rFonts w:hint="eastAsia" w:ascii="仿宋" w:hAnsi="仿宋" w:eastAsia="仿宋" w:cs="??_GB2312"/>
          <w:sz w:val="32"/>
          <w:szCs w:val="32"/>
          <w:u w:val="none"/>
          <w:lang w:eastAsia="zh-CN"/>
        </w:rPr>
        <w:t xml:space="preserve">                                   </w:t>
      </w:r>
    </w:p>
    <w:p>
      <w:pPr>
        <w:spacing w:line="520" w:lineRule="exact"/>
        <w:rPr>
          <w:rFonts w:hint="eastAsia" w:ascii="仿宋" w:hAnsi="仿宋" w:eastAsia="仿宋" w:cs="??_GB2312"/>
          <w:sz w:val="32"/>
          <w:szCs w:val="32"/>
          <w:u w:val="none"/>
          <w:lang w:eastAsia="zh-CN"/>
        </w:rPr>
      </w:pPr>
      <w:r>
        <w:rPr>
          <w:rFonts w:hint="eastAsia" w:ascii="仿宋" w:hAnsi="仿宋" w:eastAsia="仿宋" w:cs="??_GB2312"/>
          <w:sz w:val="32"/>
          <w:szCs w:val="32"/>
          <w:u w:val="none"/>
          <w:lang w:eastAsia="zh-CN"/>
        </w:rPr>
        <w:t>住所（住址）：</w:t>
      </w:r>
      <w:r>
        <w:rPr>
          <w:rFonts w:hint="eastAsia" w:ascii="仿宋" w:hAnsi="仿宋" w:eastAsia="仿宋" w:cs="??_GB2312"/>
          <w:sz w:val="32"/>
          <w:szCs w:val="32"/>
          <w:u w:val="none"/>
          <w:lang w:val="en-US" w:eastAsia="zh-CN"/>
        </w:rPr>
        <w:t>秦皇岛开发区恒山路6号（前进门市房2号）</w:t>
      </w:r>
      <w:r>
        <w:rPr>
          <w:rFonts w:hint="eastAsia" w:ascii="仿宋" w:hAnsi="仿宋" w:eastAsia="仿宋" w:cs="??_GB2312"/>
          <w:sz w:val="32"/>
          <w:szCs w:val="32"/>
          <w:u w:val="none"/>
          <w:lang w:eastAsia="zh-CN"/>
        </w:rPr>
        <w:t xml:space="preserve">；                                               </w:t>
      </w:r>
    </w:p>
    <w:p>
      <w:pPr>
        <w:spacing w:line="520" w:lineRule="exact"/>
        <w:rPr>
          <w:rFonts w:hint="eastAsia" w:ascii="仿宋" w:hAnsi="仿宋" w:eastAsia="仿宋" w:cs="??_GB2312"/>
          <w:sz w:val="32"/>
          <w:szCs w:val="32"/>
          <w:u w:val="none"/>
          <w:lang w:eastAsia="zh-CN"/>
        </w:rPr>
      </w:pPr>
      <w:r>
        <w:rPr>
          <w:rFonts w:hint="eastAsia" w:ascii="仿宋" w:hAnsi="仿宋" w:eastAsia="仿宋" w:cs="??_GB2312"/>
          <w:sz w:val="32"/>
          <w:szCs w:val="32"/>
          <w:u w:val="none"/>
          <w:lang w:eastAsia="zh-CN"/>
        </w:rPr>
        <w:t>法定代表人（负责人、经营者）：</w:t>
      </w:r>
      <w:r>
        <w:rPr>
          <w:rFonts w:hint="eastAsia" w:ascii="仿宋" w:hAnsi="仿宋" w:eastAsia="仿宋" w:cs="??_GB2312"/>
          <w:sz w:val="32"/>
          <w:szCs w:val="32"/>
          <w:u w:val="none"/>
          <w:lang w:val="en-US" w:eastAsia="zh-CN"/>
        </w:rPr>
        <w:t>刘岩</w:t>
      </w:r>
      <w:r>
        <w:rPr>
          <w:rFonts w:hint="eastAsia" w:ascii="仿宋" w:hAnsi="仿宋" w:eastAsia="仿宋" w:cs="??_GB2312"/>
          <w:sz w:val="32"/>
          <w:szCs w:val="32"/>
          <w:u w:val="none"/>
          <w:lang w:eastAsia="zh-CN"/>
        </w:rPr>
        <w:t xml:space="preserve"> ；      </w:t>
      </w:r>
      <w:r>
        <w:rPr>
          <w:rFonts w:hint="eastAsia" w:ascii="仿宋" w:hAnsi="仿宋" w:eastAsia="仿宋" w:cs="??_GB2312"/>
          <w:sz w:val="32"/>
          <w:szCs w:val="32"/>
          <w:u w:val="none"/>
          <w:lang w:val="en-US" w:eastAsia="zh-CN"/>
        </w:rPr>
        <w:t xml:space="preserve">           </w:t>
      </w:r>
      <w:r>
        <w:rPr>
          <w:rFonts w:hint="eastAsia" w:ascii="仿宋" w:hAnsi="仿宋" w:eastAsia="仿宋" w:cs="??_GB2312"/>
          <w:sz w:val="32"/>
          <w:szCs w:val="32"/>
          <w:u w:val="none"/>
          <w:lang w:eastAsia="zh-CN"/>
        </w:rPr>
        <w:t xml:space="preserve">                       </w:t>
      </w:r>
    </w:p>
    <w:p>
      <w:pPr>
        <w:spacing w:line="520" w:lineRule="exact"/>
        <w:rPr>
          <w:rFonts w:hint="eastAsia" w:ascii="仿宋" w:hAnsi="仿宋" w:eastAsia="仿宋" w:cs="??_GB2312"/>
          <w:sz w:val="32"/>
          <w:szCs w:val="32"/>
          <w:u w:val="none"/>
          <w:lang w:eastAsia="zh-CN"/>
        </w:rPr>
      </w:pPr>
      <w:r>
        <w:rPr>
          <w:rFonts w:hint="eastAsia" w:ascii="仿宋" w:hAnsi="仿宋" w:eastAsia="仿宋" w:cs="??_GB2312"/>
          <w:sz w:val="32"/>
          <w:szCs w:val="32"/>
          <w:u w:val="none"/>
          <w:lang w:eastAsia="zh-CN"/>
        </w:rPr>
        <w:t>身份证号码：</w:t>
      </w:r>
      <w:r>
        <w:rPr>
          <w:rFonts w:hint="eastAsia" w:ascii="仿宋" w:hAnsi="仿宋" w:eastAsia="仿宋" w:cs="仿宋"/>
          <w:kern w:val="1"/>
          <w:sz w:val="32"/>
          <w:szCs w:val="32"/>
          <w:u w:val="none"/>
          <w:lang w:val="en-US" w:eastAsia="zh-CN"/>
        </w:rPr>
        <w:t>1303021980********</w:t>
      </w:r>
      <w:r>
        <w:rPr>
          <w:rFonts w:hint="eastAsia" w:ascii="仿宋" w:hAnsi="仿宋" w:eastAsia="仿宋" w:cs="??_GB2312"/>
          <w:sz w:val="32"/>
          <w:szCs w:val="32"/>
          <w:u w:val="none"/>
          <w:lang w:val="en-US" w:eastAsia="zh-CN"/>
        </w:rPr>
        <w:t>。</w:t>
      </w:r>
      <w:r>
        <w:rPr>
          <w:rFonts w:hint="eastAsia" w:ascii="仿宋" w:hAnsi="仿宋" w:eastAsia="仿宋" w:cs="??_GB2312"/>
          <w:sz w:val="32"/>
          <w:szCs w:val="32"/>
          <w:u w:val="none"/>
          <w:lang w:eastAsia="zh-CN"/>
        </w:rPr>
        <w:t xml:space="preserve">                                                                       </w:t>
      </w:r>
      <w:r>
        <w:rPr>
          <w:rFonts w:hint="eastAsia" w:ascii="仿宋" w:hAnsi="仿宋" w:eastAsia="仿宋" w:cs="??_GB2312"/>
          <w:sz w:val="32"/>
          <w:szCs w:val="32"/>
          <w:u w:val="none"/>
          <w:lang w:val="en-US" w:eastAsia="zh-CN"/>
        </w:rPr>
        <w:t xml:space="preserve">        </w:t>
      </w:r>
      <w:r>
        <w:rPr>
          <w:rFonts w:hint="eastAsia" w:ascii="仿宋" w:hAnsi="仿宋" w:eastAsia="仿宋" w:cs="??_GB2312"/>
          <w:sz w:val="32"/>
          <w:szCs w:val="32"/>
          <w:u w:val="none"/>
          <w:lang w:eastAsia="zh-CN"/>
        </w:rPr>
        <w:t xml:space="preserve"> </w:t>
      </w:r>
    </w:p>
    <w:p>
      <w:pPr>
        <w:spacing w:line="240" w:lineRule="auto"/>
        <w:ind w:right="233" w:rightChars="111" w:firstLine="640" w:firstLineChars="200"/>
        <w:jc w:val="both"/>
        <w:rPr>
          <w:rFonts w:hint="eastAsia" w:ascii="仿宋" w:hAnsi="仿宋" w:eastAsia="仿宋" w:cs="仿宋"/>
          <w:kern w:val="1"/>
          <w:sz w:val="32"/>
          <w:szCs w:val="32"/>
          <w:u w:val="none"/>
          <w:lang w:val="en-US" w:eastAsia="zh-CN"/>
        </w:rPr>
      </w:pPr>
      <w:r>
        <w:rPr>
          <w:rFonts w:hint="eastAsia" w:ascii="仿宋" w:hAnsi="仿宋" w:eastAsia="仿宋" w:cs="??_GB2312"/>
          <w:sz w:val="32"/>
          <w:szCs w:val="32"/>
          <w:u w:val="none"/>
          <w:lang w:val="en-US" w:eastAsia="zh-CN"/>
        </w:rPr>
        <w:t>2024年5月22日，本局两名执法人员对当事人位于秦皇岛开发区恒山路6号（前进门市房2号）的经营场所进行了现场检查，当事人经营者刘岩全程配合检查工作并提供了当事人营业执照等资料。现场检查发现，当事人现场所销售的4包“槟榔干（金石之交）”（商标：和成天下、口味王）、3包“槟榔干（福星高照）”（商标：和成天下、口味王）经湖南口味王集团有限公司进行鉴定，并出具《鉴定证明》，鉴定结论：当事人所销售的上述产品均属于侵犯注册商标专用权的商品。当事人对上述事项予以认可，无异议。为进一步调查案情，经分局部门负责人批准，本局于2024年5月23日予以立案调查。</w:t>
      </w:r>
      <w:r>
        <w:rPr>
          <w:rFonts w:hint="eastAsia" w:ascii="仿宋" w:hAnsi="仿宋" w:eastAsia="仿宋" w:cs="仿宋"/>
          <w:color w:val="auto"/>
          <w:kern w:val="1"/>
          <w:sz w:val="32"/>
          <w:szCs w:val="32"/>
          <w:u w:val="none"/>
          <w:lang w:val="en-US" w:eastAsia="zh-CN"/>
        </w:rPr>
        <w:t xml:space="preserve">                        </w:t>
      </w:r>
    </w:p>
    <w:p>
      <w:pPr>
        <w:spacing w:line="240" w:lineRule="auto"/>
        <w:ind w:left="-239" w:leftChars="-114" w:right="42" w:rightChars="20" w:firstLine="640" w:firstLineChars="200"/>
        <w:jc w:val="left"/>
        <w:rPr>
          <w:rFonts w:hint="eastAsia" w:ascii="仿宋" w:hAnsi="仿宋" w:eastAsia="仿宋" w:cs="仿宋"/>
          <w:kern w:val="1"/>
          <w:sz w:val="32"/>
          <w:szCs w:val="32"/>
          <w:u w:val="none"/>
          <w:lang w:val="en-US" w:eastAsia="zh-CN"/>
        </w:rPr>
      </w:pPr>
      <w:r>
        <w:rPr>
          <w:rFonts w:hint="eastAsia" w:ascii="仿宋" w:hAnsi="仿宋" w:eastAsia="仿宋" w:cs="仿宋"/>
          <w:kern w:val="1"/>
          <w:sz w:val="32"/>
          <w:szCs w:val="32"/>
          <w:u w:val="none"/>
          <w:lang w:val="en-US" w:eastAsia="zh-CN"/>
        </w:rPr>
        <w:t xml:space="preserve">经查：2024年5月中旬，当事人采购上述5包“槟榔干（金石之交）”（商标：和成天下、口味王；净含量：48克；委托方：湖南口味王集团有限责任公司；生产厂址：湖南省益阳市资阳区李昌港（代号A）、湖南省益阳市资阳区资阳东路68号（代号B）；执行标准：T/CFMA 01-2022槟榔；生产日期及批号：顺德2024/04/28 E4 03024B0118W-03 106 合格；保质期：60天。）、5包“槟榔干（福星高照）”（商标：和成天下、口味王；净含量：26克；委托方：湖南口味王集团有限责任公司；生产厂址：湖南省益阳市资阳区李昌港（代号A）、湖南省益阳市资阳区资阳东路68号（代号B）；执行标准：T/CFMA 01-2022槟榔；生产日期及批号：顺德 2024/04/30   D  240420T1026-07 1401 合格；保质期：60天。）；进货价格分别为：槟榔干（金石之交）：44元/包、槟榔干（福星高照）：25元/包，进货金额：345元。当事人以现金支付的方式向供货者进行结算上述货款。                                            </w:t>
      </w:r>
    </w:p>
    <w:p>
      <w:pPr>
        <w:spacing w:line="240" w:lineRule="auto"/>
        <w:ind w:left="-239" w:leftChars="-114" w:right="42" w:rightChars="20" w:firstLine="640" w:firstLineChars="200"/>
        <w:jc w:val="left"/>
        <w:rPr>
          <w:rFonts w:hint="eastAsia" w:ascii="仿宋" w:hAnsi="仿宋" w:eastAsia="仿宋" w:cs="??_GB2312"/>
          <w:sz w:val="32"/>
          <w:szCs w:val="32"/>
          <w:u w:val="none"/>
          <w:lang w:val="en-US" w:eastAsia="zh-CN"/>
        </w:rPr>
      </w:pPr>
      <w:r>
        <w:rPr>
          <w:rFonts w:hint="eastAsia" w:ascii="仿宋" w:hAnsi="仿宋" w:eastAsia="仿宋" w:cs="仿宋"/>
          <w:kern w:val="1"/>
          <w:sz w:val="32"/>
          <w:szCs w:val="32"/>
          <w:u w:val="none"/>
          <w:lang w:val="en-US" w:eastAsia="zh-CN"/>
        </w:rPr>
        <w:t>2024年5月22日，湖南口味王集团有限责任公司授权委托人袁瑞东向本局提交了湖南口味王集团有限责任公司的资质证明资料以及为其出具的《鉴定资格授权委托书》，并对当事人现场所销售上述4包“槟榔干（金石之交）”）、3包“槟榔干（福星高照）”现场进行了鉴定；2024年5月22日出具了《鉴定证明》，鉴定结论：“对上述产品经我公司鉴定，与我公司产品包装上的文字、图案、商标相同；确认上述产品不属于我公司生产或授权生产的产品，均为假冒我公司产品，并侵犯我公司注册商标知识产权（该产品及鉴定引起的法律责任由我公司承担）。 ”当事人对上述事项予以认可，无异议。鉴于当事人的上述行为，本局依法向当事人下达了《实施行政强制措施决定书》（秦市监强制[2024]综09号），对当事人所销售的上述涉嫌侵犯注册商标专用权的商品：4包槟榔干（金石之交）、3包槟榔干（福星高</w:t>
      </w:r>
      <w:bookmarkStart w:id="0" w:name="_GoBack"/>
      <w:bookmarkEnd w:id="0"/>
      <w:r>
        <w:rPr>
          <w:rFonts w:hint="eastAsia" w:ascii="仿宋" w:hAnsi="仿宋" w:eastAsia="仿宋" w:cs="仿宋"/>
          <w:kern w:val="1"/>
          <w:sz w:val="32"/>
          <w:szCs w:val="32"/>
          <w:u w:val="none"/>
          <w:lang w:val="en-US" w:eastAsia="zh-CN"/>
        </w:rPr>
        <w:t xml:space="preserve">照）实施了扣押的行政强制措施，实施强制措施的期限为三十日。截至2024年5月22日被查，当事人销售上述商品数量分别为：槟榔干（金石之交）数量：5包，销售价格：50元/包，库存数量：4包；槟榔干（福星高照）数量：5包，销售价格：30元/包，库存数量：3包；销售金额合计：110元，违法所得：16元。经计算，当事人所售上述商品的货值金额：400元。当事人无法提供所销售上述商品的供货者许可证、供货凭证、联系方式以及上述商品所标注“和成天下”“口味王”的《商标注册证》等相关的证明资料，无法说明上述商品的进货来源 。 </w:t>
      </w:r>
      <w:r>
        <w:rPr>
          <w:rFonts w:hint="eastAsia" w:ascii="仿宋" w:hAnsi="仿宋" w:eastAsia="仿宋" w:cs="仿宋"/>
          <w:sz w:val="32"/>
          <w:szCs w:val="32"/>
          <w:u w:val="none"/>
          <w:lang w:val="en-US" w:eastAsia="zh-CN"/>
        </w:rPr>
        <w:t xml:space="preserve">              </w:t>
      </w:r>
      <w:r>
        <w:rPr>
          <w:rFonts w:hint="eastAsia" w:ascii="仿宋" w:hAnsi="仿宋" w:eastAsia="仿宋" w:cs="??_GB2312"/>
          <w:sz w:val="32"/>
          <w:szCs w:val="32"/>
          <w:u w:val="none"/>
          <w:lang w:val="en-US" w:eastAsia="zh-CN"/>
        </w:rPr>
        <w:t xml:space="preserve">              </w:t>
      </w:r>
    </w:p>
    <w:p>
      <w:pPr>
        <w:spacing w:line="520" w:lineRule="exact"/>
        <w:ind w:firstLine="643" w:firstLineChars="200"/>
        <w:rPr>
          <w:rFonts w:hint="eastAsia" w:ascii="仿宋" w:hAnsi="仿宋" w:eastAsia="仿宋" w:cs="??_GB2312"/>
          <w:b/>
          <w:bCs/>
          <w:sz w:val="32"/>
          <w:szCs w:val="32"/>
          <w:u w:val="none"/>
          <w:lang w:val="en-US" w:eastAsia="zh-CN"/>
        </w:rPr>
      </w:pPr>
      <w:r>
        <w:rPr>
          <w:rFonts w:hint="eastAsia" w:ascii="仿宋" w:hAnsi="仿宋" w:eastAsia="仿宋" w:cs="??_GB2312"/>
          <w:b/>
          <w:bCs/>
          <w:sz w:val="32"/>
          <w:szCs w:val="32"/>
          <w:u w:val="none"/>
          <w:lang w:val="en-US" w:eastAsia="zh-CN"/>
        </w:rPr>
        <w:t>上述事实，主要有以下证据证明：</w:t>
      </w:r>
    </w:p>
    <w:p>
      <w:pPr>
        <w:spacing w:line="240" w:lineRule="auto"/>
        <w:ind w:left="-239" w:leftChars="-114" w:right="42" w:rightChars="20" w:firstLine="640" w:firstLineChars="200"/>
        <w:jc w:val="left"/>
        <w:rPr>
          <w:rFonts w:hint="eastAsia" w:ascii="仿宋" w:hAnsi="仿宋" w:eastAsia="仿宋" w:cs="仿宋"/>
          <w:kern w:val="1"/>
          <w:sz w:val="32"/>
          <w:szCs w:val="32"/>
          <w:u w:val="none"/>
          <w:lang w:val="en-US" w:eastAsia="zh-CN"/>
        </w:rPr>
      </w:pPr>
      <w:r>
        <w:rPr>
          <w:rFonts w:hint="eastAsia" w:ascii="仿宋" w:hAnsi="仿宋" w:eastAsia="仿宋" w:cs="仿宋"/>
          <w:kern w:val="1"/>
          <w:sz w:val="32"/>
          <w:szCs w:val="32"/>
          <w:u w:val="none"/>
          <w:lang w:val="en-US" w:eastAsia="zh-CN"/>
        </w:rPr>
        <w:t xml:space="preserve">1.当事人经营者刘岩签字盖章确认的当事人营业执照、仅销售预包装食品经营者备案信息采集表、刘岩身份证复印件各一份；证明了当事人的基本信息以及经营者身份信息等相关事项。                    </w:t>
      </w:r>
    </w:p>
    <w:p>
      <w:pPr>
        <w:spacing w:line="240" w:lineRule="auto"/>
        <w:ind w:left="-239" w:leftChars="-114" w:right="42" w:rightChars="20" w:firstLine="640" w:firstLineChars="200"/>
        <w:jc w:val="left"/>
        <w:rPr>
          <w:rFonts w:hint="eastAsia" w:ascii="仿宋" w:hAnsi="仿宋" w:eastAsia="仿宋" w:cs="仿宋"/>
          <w:kern w:val="1"/>
          <w:sz w:val="32"/>
          <w:szCs w:val="32"/>
          <w:u w:val="none"/>
          <w:lang w:val="en-US" w:eastAsia="zh-CN"/>
        </w:rPr>
      </w:pPr>
      <w:r>
        <w:rPr>
          <w:rFonts w:hint="eastAsia" w:ascii="仿宋" w:hAnsi="仿宋" w:eastAsia="仿宋" w:cs="仿宋"/>
          <w:kern w:val="1"/>
          <w:sz w:val="32"/>
          <w:szCs w:val="32"/>
          <w:u w:val="none"/>
          <w:lang w:val="en-US" w:eastAsia="zh-CN"/>
        </w:rPr>
        <w:t xml:space="preserve">2.对当事人经营场所现场笔录一份；现场检查照片打印件四份；对经营者刘岩所做询问笔录一份；证明了当事人开展经营活动以及销售侵犯注册商标专用权的商品的违法事实等相关事项。              </w:t>
      </w:r>
    </w:p>
    <w:p>
      <w:pPr>
        <w:spacing w:line="240" w:lineRule="auto"/>
        <w:ind w:left="-239" w:leftChars="-114" w:right="42" w:rightChars="20" w:firstLine="640" w:firstLineChars="200"/>
        <w:jc w:val="left"/>
        <w:rPr>
          <w:rFonts w:hint="eastAsia" w:ascii="仿宋" w:hAnsi="仿宋" w:eastAsia="仿宋" w:cs="宋体"/>
          <w:bCs/>
          <w:color w:val="000000"/>
          <w:sz w:val="32"/>
          <w:szCs w:val="32"/>
          <w:u w:val="none"/>
        </w:rPr>
      </w:pPr>
      <w:r>
        <w:rPr>
          <w:rFonts w:hint="eastAsia" w:ascii="仿宋" w:hAnsi="仿宋" w:eastAsia="仿宋" w:cs="仿宋"/>
          <w:kern w:val="1"/>
          <w:sz w:val="32"/>
          <w:szCs w:val="32"/>
          <w:u w:val="none"/>
          <w:lang w:val="en-US" w:eastAsia="zh-CN"/>
        </w:rPr>
        <w:t xml:space="preserve">3.袁瑞东提供的湖南口味王集团有限责任公司相关资质证明资料一份；袁瑞东身份证复印件一份；授权委托书、鉴定资格授权委托书、鉴定证明各一份；证明了湖南口味王集团有限责任公司对当事人所销售的商品进行鉴定并出具鉴定证明以及当事人所销售的商品属于侵犯注册商标专用权的商品的真实性等相关事项。            </w:t>
      </w:r>
      <w:r>
        <w:rPr>
          <w:rFonts w:hint="eastAsia" w:ascii="仿宋" w:hAnsi="仿宋" w:eastAsia="仿宋" w:cs="??_GB2312"/>
          <w:sz w:val="32"/>
          <w:szCs w:val="32"/>
          <w:u w:val="none"/>
          <w:lang w:val="en-US" w:eastAsia="zh-CN"/>
        </w:rPr>
        <w:t xml:space="preserve">             </w:t>
      </w:r>
      <w:r>
        <w:rPr>
          <w:rFonts w:hint="eastAsia" w:ascii="仿宋" w:hAnsi="仿宋" w:eastAsia="仿宋" w:cs="宋体"/>
          <w:bCs/>
          <w:color w:val="000000"/>
          <w:sz w:val="32"/>
          <w:szCs w:val="32"/>
          <w:u w:val="none"/>
        </w:rPr>
        <w:t xml:space="preserve">                                                                                </w:t>
      </w:r>
    </w:p>
    <w:p>
      <w:pPr>
        <w:spacing w:line="520" w:lineRule="exact"/>
        <w:ind w:firstLine="640" w:firstLineChars="200"/>
        <w:rPr>
          <w:rFonts w:hint="eastAsia" w:ascii="仿宋" w:hAnsi="仿宋" w:eastAsia="仿宋" w:cs="宋体"/>
          <w:bCs/>
          <w:color w:val="000000"/>
          <w:sz w:val="32"/>
          <w:szCs w:val="32"/>
          <w:u w:val="none"/>
        </w:rPr>
      </w:pPr>
      <w:r>
        <w:rPr>
          <w:rFonts w:hint="eastAsia" w:ascii="仿宋" w:hAnsi="仿宋" w:eastAsia="仿宋" w:cs="宋体"/>
          <w:bCs/>
          <w:color w:val="auto"/>
          <w:sz w:val="32"/>
          <w:szCs w:val="32"/>
          <w:u w:val="none"/>
        </w:rPr>
        <w:t>202</w:t>
      </w:r>
      <w:r>
        <w:rPr>
          <w:rFonts w:hint="eastAsia" w:ascii="仿宋" w:hAnsi="仿宋" w:eastAsia="仿宋" w:cs="宋体"/>
          <w:bCs/>
          <w:color w:val="auto"/>
          <w:sz w:val="32"/>
          <w:szCs w:val="32"/>
          <w:u w:val="none"/>
          <w:lang w:val="en-US" w:eastAsia="zh-CN"/>
        </w:rPr>
        <w:t>4</w:t>
      </w:r>
      <w:r>
        <w:rPr>
          <w:rFonts w:hint="eastAsia" w:ascii="仿宋" w:hAnsi="仿宋" w:eastAsia="仿宋" w:cs="宋体"/>
          <w:bCs/>
          <w:color w:val="auto"/>
          <w:sz w:val="32"/>
          <w:szCs w:val="32"/>
          <w:u w:val="none"/>
        </w:rPr>
        <w:t>年</w:t>
      </w:r>
      <w:r>
        <w:rPr>
          <w:rFonts w:hint="eastAsia" w:ascii="仿宋" w:hAnsi="仿宋" w:eastAsia="仿宋" w:cs="宋体"/>
          <w:bCs/>
          <w:color w:val="auto"/>
          <w:sz w:val="32"/>
          <w:szCs w:val="32"/>
          <w:u w:val="none"/>
          <w:lang w:val="en-US" w:eastAsia="zh-CN"/>
        </w:rPr>
        <w:t>5</w:t>
      </w:r>
      <w:r>
        <w:rPr>
          <w:rFonts w:hint="eastAsia" w:ascii="仿宋" w:hAnsi="仿宋" w:eastAsia="仿宋" w:cs="宋体"/>
          <w:bCs/>
          <w:color w:val="auto"/>
          <w:sz w:val="32"/>
          <w:szCs w:val="32"/>
          <w:u w:val="none"/>
        </w:rPr>
        <w:t>月</w:t>
      </w:r>
      <w:r>
        <w:rPr>
          <w:rFonts w:hint="eastAsia" w:ascii="仿宋" w:hAnsi="仿宋" w:eastAsia="仿宋" w:cs="宋体"/>
          <w:bCs/>
          <w:color w:val="auto"/>
          <w:sz w:val="32"/>
          <w:szCs w:val="32"/>
          <w:u w:val="none"/>
          <w:lang w:val="en-US" w:eastAsia="zh-CN"/>
        </w:rPr>
        <w:t>27</w:t>
      </w:r>
      <w:r>
        <w:rPr>
          <w:rFonts w:hint="eastAsia" w:ascii="仿宋" w:hAnsi="仿宋" w:eastAsia="仿宋" w:cs="宋体"/>
          <w:bCs/>
          <w:color w:val="auto"/>
          <w:sz w:val="32"/>
          <w:szCs w:val="32"/>
          <w:u w:val="none"/>
          <w:lang w:eastAsia="zh-CN"/>
        </w:rPr>
        <w:t>本</w:t>
      </w:r>
      <w:r>
        <w:rPr>
          <w:rFonts w:hint="eastAsia" w:ascii="仿宋" w:hAnsi="仿宋" w:eastAsia="仿宋" w:cs="宋体"/>
          <w:bCs/>
          <w:color w:val="auto"/>
          <w:sz w:val="32"/>
          <w:szCs w:val="32"/>
          <w:u w:val="none"/>
        </w:rPr>
        <w:t>局向当事人送达了《行政处罚告知书》</w:t>
      </w:r>
      <w:r>
        <w:rPr>
          <w:rFonts w:hint="eastAsia" w:ascii="仿宋" w:hAnsi="仿宋" w:eastAsia="仿宋" w:cs="宋体"/>
          <w:bCs/>
          <w:color w:val="auto"/>
          <w:sz w:val="32"/>
          <w:szCs w:val="32"/>
          <w:u w:val="none"/>
          <w:lang w:eastAsia="zh-CN"/>
        </w:rPr>
        <w:t>（</w:t>
      </w:r>
      <w:r>
        <w:rPr>
          <w:rFonts w:hint="eastAsia" w:ascii="仿宋" w:hAnsi="仿宋" w:eastAsia="仿宋" w:cs="宋体"/>
          <w:bCs/>
          <w:color w:val="auto"/>
          <w:sz w:val="32"/>
          <w:szCs w:val="32"/>
          <w:u w:val="none"/>
        </w:rPr>
        <w:t>秦市监</w:t>
      </w:r>
      <w:r>
        <w:rPr>
          <w:rFonts w:hint="eastAsia" w:ascii="仿宋" w:hAnsi="仿宋" w:eastAsia="仿宋" w:cs="宋体"/>
          <w:bCs/>
          <w:color w:val="auto"/>
          <w:sz w:val="32"/>
          <w:szCs w:val="32"/>
          <w:u w:val="none"/>
          <w:lang w:eastAsia="zh-CN"/>
        </w:rPr>
        <w:t>罚</w:t>
      </w:r>
      <w:r>
        <w:rPr>
          <w:rFonts w:hint="eastAsia" w:ascii="仿宋" w:hAnsi="仿宋" w:eastAsia="仿宋" w:cs="宋体"/>
          <w:bCs/>
          <w:color w:val="auto"/>
          <w:sz w:val="32"/>
          <w:szCs w:val="32"/>
          <w:u w:val="none"/>
        </w:rPr>
        <w:t>告[202</w:t>
      </w:r>
      <w:r>
        <w:rPr>
          <w:rFonts w:hint="eastAsia" w:ascii="仿宋" w:hAnsi="仿宋" w:eastAsia="仿宋" w:cs="宋体"/>
          <w:bCs/>
          <w:color w:val="auto"/>
          <w:sz w:val="32"/>
          <w:szCs w:val="32"/>
          <w:u w:val="none"/>
          <w:lang w:val="en-US" w:eastAsia="zh-CN"/>
        </w:rPr>
        <w:t>4</w:t>
      </w:r>
      <w:r>
        <w:rPr>
          <w:rFonts w:hint="eastAsia" w:ascii="仿宋" w:hAnsi="仿宋" w:eastAsia="仿宋" w:cs="宋体"/>
          <w:bCs/>
          <w:color w:val="auto"/>
          <w:sz w:val="32"/>
          <w:szCs w:val="32"/>
          <w:u w:val="none"/>
        </w:rPr>
        <w:t>]</w:t>
      </w:r>
      <w:r>
        <w:rPr>
          <w:rFonts w:hint="eastAsia" w:ascii="仿宋" w:hAnsi="仿宋" w:eastAsia="仿宋" w:cs="宋体"/>
          <w:bCs/>
          <w:color w:val="auto"/>
          <w:sz w:val="32"/>
          <w:szCs w:val="32"/>
          <w:u w:val="none"/>
          <w:lang w:val="en-US" w:eastAsia="zh-CN"/>
        </w:rPr>
        <w:t>1027</w:t>
      </w:r>
      <w:r>
        <w:rPr>
          <w:rFonts w:hint="eastAsia" w:ascii="仿宋" w:hAnsi="仿宋" w:eastAsia="仿宋" w:cs="宋体"/>
          <w:bCs/>
          <w:color w:val="auto"/>
          <w:sz w:val="32"/>
          <w:szCs w:val="32"/>
          <w:u w:val="none"/>
        </w:rPr>
        <w:t>号</w:t>
      </w:r>
      <w:r>
        <w:rPr>
          <w:rFonts w:hint="eastAsia" w:ascii="仿宋" w:hAnsi="仿宋" w:eastAsia="仿宋" w:cs="宋体"/>
          <w:bCs/>
          <w:color w:val="auto"/>
          <w:sz w:val="32"/>
          <w:szCs w:val="32"/>
          <w:u w:val="none"/>
          <w:lang w:eastAsia="zh-CN"/>
        </w:rPr>
        <w:t>）</w:t>
      </w:r>
      <w:r>
        <w:rPr>
          <w:rFonts w:hint="eastAsia" w:ascii="仿宋" w:hAnsi="仿宋" w:eastAsia="仿宋" w:cs="宋体"/>
          <w:bCs/>
          <w:color w:val="auto"/>
          <w:sz w:val="32"/>
          <w:szCs w:val="32"/>
          <w:u w:val="none"/>
        </w:rPr>
        <w:t>，</w:t>
      </w:r>
      <w:r>
        <w:rPr>
          <w:rFonts w:hint="eastAsia" w:ascii="仿宋" w:hAnsi="仿宋" w:eastAsia="仿宋" w:cs="宋体"/>
          <w:bCs/>
          <w:color w:val="000000"/>
          <w:sz w:val="32"/>
          <w:szCs w:val="32"/>
          <w:u w:val="none"/>
        </w:rPr>
        <w:t>告知了本局拟作出行政处罚的内容及事实、理由、依据，当事人自收到该告知书之日起五个工作日内未行使陈述、申辩权</w:t>
      </w:r>
      <w:r>
        <w:rPr>
          <w:rFonts w:hint="eastAsia" w:ascii="仿宋" w:hAnsi="仿宋" w:eastAsia="仿宋" w:cs="宋体"/>
          <w:bCs/>
          <w:color w:val="000000"/>
          <w:sz w:val="32"/>
          <w:szCs w:val="32"/>
          <w:u w:val="none"/>
          <w:lang w:eastAsia="zh-CN"/>
        </w:rPr>
        <w:t>，未要求听证</w:t>
      </w:r>
      <w:r>
        <w:rPr>
          <w:rFonts w:hint="eastAsia" w:ascii="仿宋" w:hAnsi="仿宋" w:eastAsia="仿宋" w:cs="宋体"/>
          <w:bCs/>
          <w:color w:val="000000"/>
          <w:sz w:val="32"/>
          <w:szCs w:val="32"/>
          <w:u w:val="none"/>
        </w:rPr>
        <w:t>。</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宋体"/>
          <w:bCs/>
          <w:color w:val="000000"/>
          <w:sz w:val="32"/>
          <w:szCs w:val="32"/>
          <w:u w:val="none"/>
          <w:lang w:eastAsia="zh-CN"/>
        </w:rPr>
        <w:t>本局认为，当事人的上述行为违反了</w:t>
      </w:r>
      <w:r>
        <w:rPr>
          <w:rFonts w:hint="eastAsia" w:ascii="仿宋" w:hAnsi="仿宋" w:eastAsia="仿宋" w:cs="宋体"/>
          <w:bCs/>
          <w:color w:val="000000"/>
          <w:sz w:val="32"/>
          <w:szCs w:val="32"/>
          <w:u w:val="none"/>
          <w:lang w:val="zh-CN" w:eastAsia="zh-CN"/>
        </w:rPr>
        <w:t>《中华人民共和国商标法》第五十七条第（三）项：“　有下列行为之一的，均属侵犯注册商标专用权：（三）销售侵犯注册商标专用权的商品的；”的规定，属于</w:t>
      </w:r>
      <w:r>
        <w:rPr>
          <w:rFonts w:hint="eastAsia" w:ascii="仿宋" w:hAnsi="仿宋" w:eastAsia="仿宋" w:cs="宋体"/>
          <w:bCs/>
          <w:color w:val="000000"/>
          <w:sz w:val="32"/>
          <w:szCs w:val="32"/>
          <w:u w:val="none"/>
          <w:lang w:val="en-US" w:eastAsia="zh-CN"/>
        </w:rPr>
        <w:t>销售侵犯注册商标专用权的商品</w:t>
      </w:r>
      <w:r>
        <w:rPr>
          <w:rFonts w:hint="eastAsia" w:ascii="仿宋" w:hAnsi="仿宋" w:eastAsia="仿宋" w:cs="宋体"/>
          <w:bCs/>
          <w:color w:val="000000"/>
          <w:sz w:val="32"/>
          <w:szCs w:val="32"/>
          <w:u w:val="none"/>
          <w:lang w:val="zh-CN" w:eastAsia="zh-CN"/>
        </w:rPr>
        <w:t xml:space="preserve">的违法行为。 </w:t>
      </w:r>
      <w:r>
        <w:rPr>
          <w:rFonts w:hint="eastAsia" w:ascii="仿宋" w:hAnsi="仿宋" w:eastAsia="仿宋" w:cs="宋体"/>
          <w:bCs/>
          <w:color w:val="000000"/>
          <w:sz w:val="32"/>
          <w:szCs w:val="32"/>
          <w:u w:val="none"/>
          <w:lang w:eastAsia="zh-CN"/>
        </w:rPr>
        <w:t xml:space="preserve">               </w:t>
      </w:r>
      <w:r>
        <w:rPr>
          <w:rFonts w:hint="eastAsia" w:ascii="仿宋" w:hAnsi="仿宋" w:eastAsia="仿宋" w:cs="宋体"/>
          <w:bCs/>
          <w:color w:val="000000"/>
          <w:sz w:val="32"/>
          <w:szCs w:val="32"/>
          <w:u w:val="none"/>
        </w:rPr>
        <w:t xml:space="preserve">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firstLineChars="200"/>
        <w:jc w:val="left"/>
        <w:rPr>
          <w:rFonts w:hint="eastAsia" w:ascii="仿宋" w:hAnsi="仿宋" w:eastAsia="仿宋" w:cs="楷体_GB2312"/>
          <w:bCs/>
          <w:color w:val="000000"/>
          <w:sz w:val="32"/>
          <w:szCs w:val="32"/>
          <w:u w:val="none"/>
          <w:lang w:val="en-US" w:eastAsia="zh-CN"/>
        </w:rPr>
      </w:pPr>
      <w:r>
        <w:rPr>
          <w:rFonts w:hint="eastAsia" w:ascii="仿宋" w:hAnsi="仿宋" w:eastAsia="仿宋" w:cs="楷体_GB2312"/>
          <w:bCs/>
          <w:color w:val="000000"/>
          <w:sz w:val="32"/>
          <w:szCs w:val="32"/>
          <w:u w:val="none"/>
        </w:rPr>
        <w:t xml:space="preserve">  当事人销售侵犯注册商标专用权的商品的违法行为违反了《中华人民共和国商标法》第五十七条第（三）项的规定，依据《中华人民共和国商标法》第六十条第二款的规定应予以行政处罚。鉴于当事人事后积极配合市场监督管理部门调查，如实陈述违法事实，并主动提供证据材料；依据《河北省市场监督管理行政处罚裁量权适用规则》第</w:t>
      </w:r>
      <w:r>
        <w:rPr>
          <w:rFonts w:hint="eastAsia" w:ascii="仿宋" w:hAnsi="仿宋" w:eastAsia="仿宋" w:cs="楷体_GB2312"/>
          <w:bCs/>
          <w:color w:val="000000"/>
          <w:sz w:val="32"/>
          <w:szCs w:val="32"/>
          <w:u w:val="none"/>
          <w:lang w:val="en-US" w:eastAsia="zh-CN"/>
        </w:rPr>
        <w:t>十五</w:t>
      </w:r>
      <w:r>
        <w:rPr>
          <w:rFonts w:hint="eastAsia" w:ascii="仿宋" w:hAnsi="仿宋" w:eastAsia="仿宋" w:cs="楷体_GB2312"/>
          <w:bCs/>
          <w:color w:val="000000"/>
          <w:sz w:val="32"/>
          <w:szCs w:val="32"/>
          <w:u w:val="none"/>
        </w:rPr>
        <w:t>条第（二）项的规定，对当事人可以依法从轻行政处罚。结合案件实际情况，经综合考量给予当事人从轻行政处罚。</w:t>
      </w:r>
      <w:r>
        <w:rPr>
          <w:rFonts w:hint="eastAsia" w:ascii="仿宋" w:hAnsi="仿宋" w:eastAsia="仿宋" w:cs="楷体_GB2312"/>
          <w:bCs/>
          <w:color w:val="000000"/>
          <w:sz w:val="32"/>
          <w:szCs w:val="32"/>
          <w:u w:val="none"/>
          <w:lang w:val="en-US" w:eastAsia="zh-CN"/>
        </w:rPr>
        <w:t xml:space="preserve">                                                            </w:t>
      </w:r>
    </w:p>
    <w:p>
      <w:pPr>
        <w:spacing w:line="240" w:lineRule="atLeast"/>
        <w:ind w:firstLine="640" w:firstLineChars="200"/>
        <w:rPr>
          <w:rFonts w:hint="eastAsia" w:ascii="仿宋" w:hAnsi="仿宋" w:eastAsia="仿宋" w:cs="宋体"/>
          <w:bCs/>
          <w:color w:val="000000"/>
          <w:sz w:val="32"/>
          <w:szCs w:val="32"/>
        </w:rPr>
      </w:pPr>
      <w:r>
        <w:rPr>
          <w:rFonts w:hint="eastAsia" w:ascii="仿宋" w:hAnsi="仿宋" w:eastAsia="仿宋" w:cs="楷体_GB2312"/>
          <w:bCs/>
          <w:color w:val="000000"/>
          <w:sz w:val="32"/>
          <w:szCs w:val="32"/>
          <w:u w:val="none"/>
          <w:lang w:val="en-US" w:eastAsia="zh-CN"/>
        </w:rPr>
        <w:t>综上，</w:t>
      </w:r>
      <w:r>
        <w:rPr>
          <w:rFonts w:hint="eastAsia" w:ascii="仿宋" w:hAnsi="仿宋" w:eastAsia="仿宋" w:cs="楷体_GB2312"/>
          <w:bCs/>
          <w:color w:val="000000"/>
          <w:sz w:val="32"/>
          <w:szCs w:val="32"/>
          <w:u w:val="none"/>
        </w:rPr>
        <w:t>当事人的</w:t>
      </w:r>
      <w:r>
        <w:rPr>
          <w:rFonts w:hint="eastAsia" w:ascii="仿宋" w:hAnsi="仿宋" w:eastAsia="仿宋" w:cs="楷体_GB2312"/>
          <w:bCs/>
          <w:color w:val="000000"/>
          <w:sz w:val="32"/>
          <w:szCs w:val="32"/>
          <w:u w:val="none"/>
          <w:lang w:eastAsia="zh-CN"/>
        </w:rPr>
        <w:t>上述</w:t>
      </w:r>
      <w:r>
        <w:rPr>
          <w:rFonts w:hint="eastAsia" w:ascii="仿宋" w:hAnsi="仿宋" w:eastAsia="仿宋" w:cs="楷体_GB2312"/>
          <w:bCs/>
          <w:color w:val="000000"/>
          <w:sz w:val="32"/>
          <w:szCs w:val="32"/>
          <w:u w:val="none"/>
        </w:rPr>
        <w:t>违法行为违反了《中华人民共和国商标法》第五十七条第（三）项的规定，依据《中华人民共和国商标法》第六十条第二款 ：“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的规定，参照《河北省市场监督管理行政处罚裁量权适用规则》第十</w:t>
      </w:r>
      <w:r>
        <w:rPr>
          <w:rFonts w:hint="eastAsia" w:ascii="仿宋" w:hAnsi="仿宋" w:eastAsia="仿宋" w:cs="楷体_GB2312"/>
          <w:bCs/>
          <w:color w:val="000000"/>
          <w:sz w:val="32"/>
          <w:szCs w:val="32"/>
          <w:u w:val="none"/>
          <w:lang w:val="en-US" w:eastAsia="zh-CN"/>
        </w:rPr>
        <w:t>五</w:t>
      </w:r>
      <w:r>
        <w:rPr>
          <w:rFonts w:hint="eastAsia" w:ascii="仿宋" w:hAnsi="仿宋" w:eastAsia="仿宋" w:cs="楷体_GB2312"/>
          <w:bCs/>
          <w:color w:val="000000"/>
          <w:sz w:val="32"/>
          <w:szCs w:val="32"/>
          <w:u w:val="none"/>
        </w:rPr>
        <w:t>条第（二）项的规定，责令当事人立即停止上述侵权行为</w:t>
      </w:r>
      <w:r>
        <w:rPr>
          <w:rFonts w:hint="eastAsia" w:ascii="仿宋" w:hAnsi="仿宋" w:eastAsia="仿宋" w:cs="楷体_GB2312"/>
          <w:bCs/>
          <w:color w:val="000000"/>
          <w:sz w:val="32"/>
          <w:szCs w:val="32"/>
          <w:u w:val="none"/>
          <w:lang w:val="en-US" w:eastAsia="zh-CN"/>
        </w:rPr>
        <w:t>，</w:t>
      </w:r>
      <w:r>
        <w:rPr>
          <w:rFonts w:hint="eastAsia" w:ascii="仿宋" w:hAnsi="仿宋" w:eastAsia="仿宋" w:cs="宋体"/>
          <w:bCs/>
          <w:color w:val="000000"/>
          <w:sz w:val="32"/>
          <w:szCs w:val="32"/>
        </w:rPr>
        <w:t xml:space="preserve">并决定处罚如下： </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right="0" w:rightChars="0"/>
        <w:rPr>
          <w:rFonts w:hint="eastAsia" w:ascii="仿宋" w:hAnsi="仿宋" w:eastAsia="仿宋" w:cs="宋体"/>
          <w:kern w:val="2"/>
          <w:sz w:val="32"/>
          <w:szCs w:val="32"/>
          <w:lang w:val="en-US" w:eastAsia="zh-CN" w:bidi="ar-SA"/>
        </w:rPr>
      </w:pPr>
      <w:r>
        <w:rPr>
          <w:rFonts w:hint="eastAsia" w:ascii="仿宋" w:hAnsi="仿宋" w:eastAsia="仿宋" w:cs="宋体"/>
          <w:kern w:val="2"/>
          <w:sz w:val="32"/>
          <w:szCs w:val="32"/>
          <w:lang w:val="en-US" w:eastAsia="zh-CN" w:bidi="ar-SA"/>
        </w:rPr>
        <w:t xml:space="preserve">    1、没收侵犯注册商标专用权的商品：4包槟榔干（金石之交）、3包槟榔干（福星高照）；                                </w:t>
      </w:r>
    </w:p>
    <w:p>
      <w:pPr>
        <w:numPr>
          <w:ilvl w:val="0"/>
          <w:numId w:val="0"/>
        </w:numPr>
        <w:spacing w:line="520" w:lineRule="exact"/>
        <w:ind w:firstLine="640" w:firstLineChars="200"/>
        <w:jc w:val="left"/>
        <w:rPr>
          <w:rFonts w:hint="eastAsia" w:ascii="仿宋" w:hAnsi="仿宋" w:eastAsia="仿宋" w:cs="楷体_GB2312"/>
          <w:bCs/>
          <w:color w:val="000000"/>
          <w:sz w:val="32"/>
          <w:szCs w:val="32"/>
          <w:u w:val="none"/>
          <w:lang w:val="en-US" w:eastAsia="zh-CN"/>
        </w:rPr>
      </w:pPr>
      <w:r>
        <w:rPr>
          <w:rFonts w:hint="eastAsia" w:ascii="仿宋" w:hAnsi="仿宋" w:eastAsia="仿宋" w:cs="宋体"/>
          <w:kern w:val="2"/>
          <w:sz w:val="32"/>
          <w:szCs w:val="32"/>
          <w:lang w:val="en-US" w:eastAsia="zh-CN" w:bidi="ar-SA"/>
        </w:rPr>
        <w:t xml:space="preserve">2、罚款人民币壹仟元整（1000元）。     </w:t>
      </w:r>
      <w:r>
        <w:rPr>
          <w:rFonts w:hint="eastAsia" w:ascii="仿宋" w:hAnsi="仿宋" w:eastAsia="仿宋" w:cs="楷体_GB2312"/>
          <w:bCs/>
          <w:color w:val="000000"/>
          <w:sz w:val="32"/>
          <w:szCs w:val="32"/>
          <w:u w:val="none"/>
          <w:lang w:val="en-US" w:eastAsia="zh-CN"/>
        </w:rPr>
        <w:t xml:space="preserve">                                                                                                                                   </w:t>
      </w:r>
    </w:p>
    <w:p>
      <w:pPr>
        <w:autoSpaceDE w:val="0"/>
        <w:autoSpaceDN w:val="0"/>
        <w:adjustRightInd w:val="0"/>
        <w:spacing w:after="20"/>
        <w:ind w:firstLine="640" w:firstLineChars="200"/>
        <w:jc w:val="left"/>
        <w:rPr>
          <w:rFonts w:ascii="仿宋" w:hAnsi="仿宋" w:eastAsia="仿宋" w:cs="宋体"/>
          <w:sz w:val="32"/>
          <w:szCs w:val="32"/>
        </w:rPr>
      </w:pPr>
      <w:r>
        <w:rPr>
          <w:rFonts w:hint="eastAsia" w:ascii="仿宋" w:hAnsi="仿宋" w:eastAsia="仿宋" w:cs="宋体"/>
          <w:sz w:val="32"/>
          <w:szCs w:val="32"/>
        </w:rPr>
        <w:t>当事人应当自收到本处罚决定书之日起十五日内，将罚没款缴至秦皇岛银行金财支行（账户名称：秦皇岛市财政局）；到期不缴纳罚款的，依据《中华人民共和国行政处罚法》第七十二条的规定，本局将每日按罚款数额的</w:t>
      </w:r>
      <w:r>
        <w:rPr>
          <w:rFonts w:hint="eastAsia" w:ascii="仿宋" w:hAnsi="仿宋" w:eastAsia="仿宋" w:cs="宋体"/>
          <w:sz w:val="32"/>
          <w:szCs w:val="32"/>
          <w:lang w:eastAsia="zh-CN"/>
        </w:rPr>
        <w:t>3%</w:t>
      </w:r>
      <w:r>
        <w:rPr>
          <w:rFonts w:hint="eastAsia" w:ascii="仿宋" w:hAnsi="仿宋" w:eastAsia="仿宋" w:cs="宋体"/>
          <w:sz w:val="32"/>
          <w:szCs w:val="32"/>
        </w:rPr>
        <w:t xml:space="preserve">加处罚款，并依法申请人民法院强制执行。                                                                                                                                                           </w:t>
      </w:r>
    </w:p>
    <w:p>
      <w:pPr>
        <w:autoSpaceDE w:val="0"/>
        <w:autoSpaceDN w:val="0"/>
        <w:adjustRightInd w:val="0"/>
        <w:spacing w:after="20" w:line="240" w:lineRule="atLeast"/>
        <w:ind w:firstLine="640" w:firstLineChars="200"/>
        <w:jc w:val="left"/>
        <w:rPr>
          <w:rFonts w:hint="eastAsia" w:ascii="仿宋" w:hAnsi="仿宋" w:eastAsia="仿宋" w:cs="宋体"/>
          <w:sz w:val="32"/>
          <w:szCs w:val="32"/>
        </w:rPr>
      </w:pPr>
      <w:r>
        <w:rPr>
          <w:rFonts w:hint="eastAsia" w:ascii="仿宋" w:hAnsi="仿宋" w:eastAsia="仿宋" w:cs="宋体"/>
          <w:sz w:val="32"/>
          <w:szCs w:val="32"/>
        </w:rPr>
        <w:t>如你（单位）不服本行政处罚决定，可以在收到本行政处罚决定书之日起六十日内向秦皇岛市</w:t>
      </w:r>
      <w:r>
        <w:rPr>
          <w:rFonts w:hint="eastAsia" w:ascii="仿宋" w:hAnsi="仿宋" w:eastAsia="仿宋" w:cs="宋体"/>
          <w:sz w:val="32"/>
          <w:szCs w:val="32"/>
          <w:lang w:val="en-US" w:eastAsia="zh-CN"/>
        </w:rPr>
        <w:t>人民政府</w:t>
      </w:r>
      <w:r>
        <w:rPr>
          <w:rFonts w:hint="eastAsia" w:ascii="仿宋" w:hAnsi="仿宋" w:eastAsia="仿宋" w:cs="宋体"/>
          <w:sz w:val="32"/>
          <w:szCs w:val="32"/>
        </w:rPr>
        <w:t>申请行政复议；也可以在六个月内依法向秦皇岛市</w:t>
      </w:r>
      <w:r>
        <w:rPr>
          <w:rFonts w:hint="eastAsia" w:ascii="仿宋" w:hAnsi="仿宋" w:eastAsia="仿宋" w:cs="宋体"/>
          <w:sz w:val="32"/>
          <w:szCs w:val="32"/>
          <w:lang w:val="en-US" w:eastAsia="zh-CN"/>
        </w:rPr>
        <w:t>山海关区</w:t>
      </w:r>
      <w:r>
        <w:rPr>
          <w:rFonts w:hint="eastAsia" w:ascii="仿宋" w:hAnsi="仿宋" w:eastAsia="仿宋" w:cs="宋体"/>
          <w:sz w:val="32"/>
          <w:szCs w:val="32"/>
        </w:rPr>
        <w:t xml:space="preserve">人民法院提起行政诉讼。申请行政复议或者提起行政诉讼期间，行政处罚不停止执行。                               </w:t>
      </w:r>
    </w:p>
    <w:p>
      <w:pPr>
        <w:spacing w:line="520" w:lineRule="exact"/>
        <w:ind w:firstLine="640" w:firstLineChars="200"/>
        <w:jc w:val="left"/>
        <w:rPr>
          <w:rFonts w:hint="eastAsia" w:ascii="仿宋" w:hAnsi="仿宋" w:eastAsia="仿宋" w:cs="楷体_GB2312"/>
          <w:bCs/>
          <w:color w:val="000000"/>
          <w:sz w:val="32"/>
          <w:szCs w:val="32"/>
          <w:u w:val="none"/>
          <w:lang w:val="en-US" w:eastAsia="zh-CN"/>
        </w:rPr>
      </w:pPr>
      <w:r>
        <w:rPr>
          <w:rFonts w:hint="eastAsia" w:ascii="仿宋" w:hAnsi="仿宋" w:eastAsia="仿宋" w:cs="宋体"/>
          <w:sz w:val="32"/>
          <w:szCs w:val="32"/>
        </w:rPr>
        <w:t>本局将依法向社会公示本行政处罚决定信息。</w:t>
      </w:r>
      <w:r>
        <w:rPr>
          <w:rFonts w:hint="eastAsia" w:ascii="仿宋" w:hAnsi="仿宋" w:eastAsia="仿宋" w:cs="楷体_GB2312"/>
          <w:bCs/>
          <w:color w:val="000000"/>
          <w:sz w:val="32"/>
          <w:szCs w:val="32"/>
          <w:u w:val="none"/>
          <w:lang w:val="en-US" w:eastAsia="zh-CN"/>
        </w:rPr>
        <w:t xml:space="preserve">                  </w:t>
      </w: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r>
        <w:rPr>
          <w:rFonts w:hint="eastAsia" w:ascii="仿宋" w:hAnsi="仿宋" w:eastAsia="仿宋" w:cs="宋体"/>
          <w:color w:val="000000"/>
          <w:sz w:val="32"/>
          <w:szCs w:val="32"/>
        </w:rPr>
        <w:t xml:space="preserve">秦皇岛市市场监督管理局                                         </w:t>
      </w:r>
      <w:r>
        <w:rPr>
          <w:rFonts w:hint="eastAsia" w:ascii="仿宋" w:hAnsi="仿宋" w:eastAsia="仿宋" w:cs="宋体"/>
          <w:color w:val="000000"/>
          <w:sz w:val="32"/>
          <w:szCs w:val="32"/>
          <w:lang w:val="en-US" w:eastAsia="zh-CN"/>
        </w:rPr>
        <w:t xml:space="preserve">    </w:t>
      </w:r>
    </w:p>
    <w:p>
      <w:pPr>
        <w:spacing w:line="460" w:lineRule="exact"/>
        <w:ind w:right="640" w:firstLine="601"/>
        <w:jc w:val="center"/>
        <w:rPr>
          <w:rFonts w:hint="eastAsia" w:ascii="仿宋" w:hAnsi="仿宋" w:eastAsia="仿宋" w:cs="黑体"/>
          <w:b/>
          <w:bCs/>
          <w:color w:val="000000"/>
          <w:sz w:val="32"/>
          <w:szCs w:val="32"/>
        </w:rPr>
      </w:pP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themeColor="text1"/>
          <w:sz w:val="32"/>
          <w:szCs w:val="32"/>
          <w:lang w:val="en-US" w:eastAsia="zh-CN"/>
          <w14:textFill>
            <w14:solidFill>
              <w14:schemeClr w14:val="tx1"/>
            </w14:solidFill>
          </w14:textFill>
        </w:rPr>
        <w:t xml:space="preserve"> 2024</w:t>
      </w:r>
      <w:r>
        <w:rPr>
          <w:rFonts w:hint="eastAsia" w:ascii="仿宋" w:hAnsi="仿宋" w:eastAsia="仿宋" w:cs="宋体"/>
          <w:color w:val="000000" w:themeColor="text1"/>
          <w:sz w:val="32"/>
          <w:szCs w:val="32"/>
          <w14:textFill>
            <w14:solidFill>
              <w14:schemeClr w14:val="tx1"/>
            </w14:solidFill>
          </w14:textFill>
        </w:rPr>
        <w:t>年</w:t>
      </w:r>
      <w:r>
        <w:rPr>
          <w:rFonts w:hint="eastAsia" w:ascii="仿宋" w:hAnsi="仿宋" w:eastAsia="仿宋" w:cs="宋体"/>
          <w:color w:val="000000" w:themeColor="text1"/>
          <w:sz w:val="32"/>
          <w:szCs w:val="32"/>
          <w:lang w:val="en-US" w:eastAsia="zh-CN"/>
          <w14:textFill>
            <w14:solidFill>
              <w14:schemeClr w14:val="tx1"/>
            </w14:solidFill>
          </w14:textFill>
        </w:rPr>
        <w:t>6</w:t>
      </w:r>
      <w:r>
        <w:rPr>
          <w:rFonts w:hint="eastAsia" w:ascii="仿宋" w:hAnsi="仿宋" w:eastAsia="仿宋" w:cs="宋体"/>
          <w:color w:val="000000" w:themeColor="text1"/>
          <w:sz w:val="32"/>
          <w:szCs w:val="32"/>
          <w14:textFill>
            <w14:solidFill>
              <w14:schemeClr w14:val="tx1"/>
            </w14:solidFill>
          </w14:textFill>
        </w:rPr>
        <w:t>月</w:t>
      </w:r>
      <w:r>
        <w:rPr>
          <w:rFonts w:hint="eastAsia" w:ascii="仿宋" w:hAnsi="仿宋" w:eastAsia="仿宋" w:cs="宋体"/>
          <w:color w:val="auto"/>
          <w:sz w:val="32"/>
          <w:szCs w:val="32"/>
          <w:lang w:val="en-US" w:eastAsia="zh-CN"/>
        </w:rPr>
        <w:t>5</w:t>
      </w:r>
      <w:r>
        <w:rPr>
          <w:rFonts w:hint="eastAsia" w:ascii="仿宋" w:hAnsi="仿宋" w:eastAsia="仿宋" w:cs="宋体"/>
          <w:color w:val="000000" w:themeColor="text1"/>
          <w:sz w:val="32"/>
          <w:szCs w:val="32"/>
          <w14:textFill>
            <w14:solidFill>
              <w14:schemeClr w14:val="tx1"/>
            </w14:solidFill>
          </w14:textFill>
        </w:rPr>
        <w:t>日</w:t>
      </w: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pPr>
        <w:wordWrap w:val="0"/>
        <w:spacing w:line="520" w:lineRule="exact"/>
        <w:rPr>
          <w:rFonts w:ascii="仿宋" w:hAnsi="仿宋" w:eastAsia="仿宋" w:cs="宋体"/>
          <w:sz w:val="32"/>
          <w:szCs w:val="32"/>
          <w:u w:val="single"/>
        </w:rPr>
      </w:pPr>
      <w:r>
        <w:rPr>
          <w:rFonts w:ascii="仿宋" w:hAnsi="仿宋" w:eastAsia="仿宋" w:cs="宋体"/>
          <w:sz w:val="32"/>
          <w:szCs w:val="32"/>
          <w:u w:val="single"/>
        </w:rPr>
        <mc:AlternateContent>
          <mc:Choice Requires="wps">
            <w:drawing>
              <wp:anchor distT="0" distB="0" distL="114300" distR="114300" simplePos="0" relativeHeight="251661312" behindDoc="0" locked="0" layoutInCell="1" allowOverlap="1">
                <wp:simplePos x="0" y="0"/>
                <wp:positionH relativeFrom="column">
                  <wp:posOffset>153035</wp:posOffset>
                </wp:positionH>
                <wp:positionV relativeFrom="paragraph">
                  <wp:posOffset>149860</wp:posOffset>
                </wp:positionV>
                <wp:extent cx="5550535" cy="63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50535" cy="635"/>
                        </a:xfrm>
                        <a:prstGeom prst="line">
                          <a:avLst/>
                        </a:prstGeom>
                        <a:noFill/>
                        <a:ln w="15875">
                          <a:solidFill>
                            <a:srgbClr val="000000"/>
                          </a:solidFill>
                          <a:round/>
                        </a:ln>
                        <a:effectLst/>
                      </wps:spPr>
                      <wps:bodyPr/>
                    </wps:wsp>
                  </a:graphicData>
                </a:graphic>
              </wp:anchor>
            </w:drawing>
          </mc:Choice>
          <mc:Fallback>
            <w:pict>
              <v:line id="_x0000_s1026" o:spid="_x0000_s1026" o:spt="20" style="position:absolute;left:0pt;margin-left:12.05pt;margin-top:11.8pt;height:0.05pt;width:437.05pt;z-index:251661312;mso-width-relative:page;mso-height-relative:page;" filled="f" stroked="t" coordsize="21600,21600" o:gfxdata="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uG&#10;HU3YAAAACAEAAA8AAAAAAAAAAQAgAAAAIgAAAGRycy9kb3ducmV2LnhtbFBLAQIUABQAAAAIAIdO&#10;4kDwx6y/6gEAALsDAAAOAAAAAAAAAAEAIAAAACcBAABkcnMvZTJvRG9jLnhtbFBLBQYAAAAABgAG&#10;AFkBAACDBQAAAAA=&#10;">
                <v:fill on="f" focussize="0,0"/>
                <v:stroke weight="1.25pt" color="#000000" joinstyle="round"/>
                <v:imagedata o:title=""/>
                <o:lock v:ext="edit" aspectratio="f"/>
              </v:line>
            </w:pict>
          </mc:Fallback>
        </mc:AlternateContent>
      </w:r>
    </w:p>
    <w:p>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ln>
                        <a:effectLst/>
                      </wps:spPr>
                      <wps:bodyPr/>
                    </wps:wsp>
                  </a:graphicData>
                </a:graphic>
              </wp:anchor>
            </w:drawing>
          </mc:Choice>
          <mc:Fallback>
            <w:pict>
              <v:line id="_x0000_s1026" o:spid="_x0000_s1026" o:spt="20" style="position:absolute;left:0pt;margin-left:0pt;margin-top:1638.35pt;height:0.1pt;width:453.75pt;z-index:251662336;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zkdcAAAAKAQAADwAAAAAAAAABACAAAAAiAAAAZHJzL2Rvd25yZXYueG1sUEsBAhQA&#10;FAAAAAgAh07iQE4ES0TzAQAAxAMAAA4AAAAAAAAAAQAgAAAAJgEAAGRycy9lMm9Eb2MueG1sUEsF&#10;BgAAAAAGAAYAWQEAAIsFAAAAAA==&#10;">
                <v:fill on="f" focussize="0,0"/>
                <v:stroke weight="0.737007874015748pt" color="#000000" joinstyle="round" endcap="square"/>
                <v:imagedata o:title=""/>
                <o:lock v:ext="edit" aspectratio="f"/>
              </v:line>
            </w:pict>
          </mc:Fallback>
        </mc:AlternateConten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宋体"/>
          <w:color w:val="000000"/>
          <w:sz w:val="32"/>
          <w:szCs w:val="32"/>
          <w:u w:val="single"/>
          <w:lang w:val="en-US" w:eastAsia="zh-CN"/>
        </w:rPr>
        <w:t xml:space="preserve">     </w:t>
      </w:r>
      <w:r>
        <w:rPr>
          <w:rFonts w:hint="eastAsia" w:ascii="仿宋" w:hAnsi="仿宋" w:eastAsia="仿宋" w:cs="宋体"/>
          <w:color w:val="000000"/>
          <w:sz w:val="32"/>
          <w:szCs w:val="32"/>
          <w:u w:val="single"/>
        </w:rPr>
        <w:t xml:space="preserve"> </w:t>
      </w:r>
      <w:r>
        <w:rPr>
          <w:rFonts w:hint="eastAsia" w:ascii="仿宋" w:hAnsi="仿宋" w:eastAsia="仿宋" w:cstheme="minorEastAsia"/>
          <w:color w:val="000000"/>
          <w:sz w:val="32"/>
          <w:szCs w:val="32"/>
        </w:rPr>
        <w:t>。</w:t>
      </w:r>
    </w:p>
    <w:p>
      <w:pPr>
        <w:rPr>
          <w:rFonts w:asciiTheme="minorEastAsia" w:hAnsiTheme="minorEastAsia" w:cstheme="minorEastAsia"/>
          <w:sz w:val="32"/>
          <w:szCs w:val="32"/>
        </w:rPr>
      </w:pPr>
    </w:p>
    <w:sectPr>
      <w:footerReference r:id="rId3" w:type="default"/>
      <w:pgSz w:w="11906" w:h="16838"/>
      <w:pgMar w:top="1304" w:right="1417" w:bottom="124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Q6KUMgBAACZ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EOilD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zYjkwMjQwMzYwYmM5YjgzODc2YTI3NTM5MGUxM2EifQ=="/>
    <w:docVar w:name="KSO_WPS_MARK_KEY" w:val="bf5604f3-6695-4fef-ba71-9922797d1c02"/>
  </w:docVars>
  <w:rsids>
    <w:rsidRoot w:val="00261B45"/>
    <w:rsid w:val="00020638"/>
    <w:rsid w:val="0003337C"/>
    <w:rsid w:val="00081C4C"/>
    <w:rsid w:val="0017746D"/>
    <w:rsid w:val="001D64C4"/>
    <w:rsid w:val="00261B45"/>
    <w:rsid w:val="002B07B9"/>
    <w:rsid w:val="003861B2"/>
    <w:rsid w:val="003D14F3"/>
    <w:rsid w:val="003E59AF"/>
    <w:rsid w:val="004F2F16"/>
    <w:rsid w:val="00545F90"/>
    <w:rsid w:val="005812F4"/>
    <w:rsid w:val="005A1325"/>
    <w:rsid w:val="00601471"/>
    <w:rsid w:val="00612EA9"/>
    <w:rsid w:val="00771B68"/>
    <w:rsid w:val="007F7427"/>
    <w:rsid w:val="008337AA"/>
    <w:rsid w:val="00925A9B"/>
    <w:rsid w:val="00934C3A"/>
    <w:rsid w:val="00940A04"/>
    <w:rsid w:val="0097082C"/>
    <w:rsid w:val="009F19C5"/>
    <w:rsid w:val="009F212A"/>
    <w:rsid w:val="00A06519"/>
    <w:rsid w:val="00A178AB"/>
    <w:rsid w:val="00B44BED"/>
    <w:rsid w:val="00BD5B48"/>
    <w:rsid w:val="00C14840"/>
    <w:rsid w:val="00C573C9"/>
    <w:rsid w:val="00C80EBC"/>
    <w:rsid w:val="00CE36D2"/>
    <w:rsid w:val="00CE6A5B"/>
    <w:rsid w:val="00DB5217"/>
    <w:rsid w:val="00E12E17"/>
    <w:rsid w:val="00E246BC"/>
    <w:rsid w:val="00E40DEB"/>
    <w:rsid w:val="00EF02BE"/>
    <w:rsid w:val="00FB229E"/>
    <w:rsid w:val="00FF2AD2"/>
    <w:rsid w:val="039835A1"/>
    <w:rsid w:val="045F5649"/>
    <w:rsid w:val="05ED6429"/>
    <w:rsid w:val="0869623A"/>
    <w:rsid w:val="08792A0E"/>
    <w:rsid w:val="091D7025"/>
    <w:rsid w:val="09E94680"/>
    <w:rsid w:val="0AAC68B2"/>
    <w:rsid w:val="0B084B61"/>
    <w:rsid w:val="0B174087"/>
    <w:rsid w:val="0D4B051E"/>
    <w:rsid w:val="0E270D6F"/>
    <w:rsid w:val="0EFE2AE5"/>
    <w:rsid w:val="11360D92"/>
    <w:rsid w:val="121448A3"/>
    <w:rsid w:val="12613486"/>
    <w:rsid w:val="1326357C"/>
    <w:rsid w:val="1344643C"/>
    <w:rsid w:val="14F06879"/>
    <w:rsid w:val="16051582"/>
    <w:rsid w:val="166307BE"/>
    <w:rsid w:val="16FE0496"/>
    <w:rsid w:val="17152542"/>
    <w:rsid w:val="18F14FE3"/>
    <w:rsid w:val="1967313B"/>
    <w:rsid w:val="1CD667D0"/>
    <w:rsid w:val="1E937BB8"/>
    <w:rsid w:val="1ED000E7"/>
    <w:rsid w:val="20522F5E"/>
    <w:rsid w:val="23627A12"/>
    <w:rsid w:val="237635F6"/>
    <w:rsid w:val="2393695C"/>
    <w:rsid w:val="28EC508F"/>
    <w:rsid w:val="299C0ED5"/>
    <w:rsid w:val="2B5F1D03"/>
    <w:rsid w:val="2BFB2D73"/>
    <w:rsid w:val="2C2D0B6B"/>
    <w:rsid w:val="2CE02D8A"/>
    <w:rsid w:val="2D172652"/>
    <w:rsid w:val="2DB66FEA"/>
    <w:rsid w:val="2EBF4557"/>
    <w:rsid w:val="2F3F11F4"/>
    <w:rsid w:val="322F2560"/>
    <w:rsid w:val="338024EF"/>
    <w:rsid w:val="34C324BE"/>
    <w:rsid w:val="350C42EE"/>
    <w:rsid w:val="350D5F85"/>
    <w:rsid w:val="359605E4"/>
    <w:rsid w:val="38953C51"/>
    <w:rsid w:val="38A72FFF"/>
    <w:rsid w:val="3A1C272D"/>
    <w:rsid w:val="3F4F2B44"/>
    <w:rsid w:val="41B234F8"/>
    <w:rsid w:val="43592C00"/>
    <w:rsid w:val="44612D2C"/>
    <w:rsid w:val="45BC42A2"/>
    <w:rsid w:val="45BE380C"/>
    <w:rsid w:val="465D0328"/>
    <w:rsid w:val="4711663E"/>
    <w:rsid w:val="47DB5022"/>
    <w:rsid w:val="4837699D"/>
    <w:rsid w:val="49634005"/>
    <w:rsid w:val="4D0E4C96"/>
    <w:rsid w:val="4E5A5650"/>
    <w:rsid w:val="4E7E71EB"/>
    <w:rsid w:val="4ECE2D81"/>
    <w:rsid w:val="51937451"/>
    <w:rsid w:val="52E22C40"/>
    <w:rsid w:val="54EA5B22"/>
    <w:rsid w:val="54F0768C"/>
    <w:rsid w:val="5529540D"/>
    <w:rsid w:val="558A777C"/>
    <w:rsid w:val="57161A99"/>
    <w:rsid w:val="5B480E52"/>
    <w:rsid w:val="5B9F1975"/>
    <w:rsid w:val="5C5869BC"/>
    <w:rsid w:val="5CDB00D7"/>
    <w:rsid w:val="5F9C5F6A"/>
    <w:rsid w:val="60056957"/>
    <w:rsid w:val="616E39B1"/>
    <w:rsid w:val="62A9217D"/>
    <w:rsid w:val="62C84A71"/>
    <w:rsid w:val="63384043"/>
    <w:rsid w:val="652E4ACF"/>
    <w:rsid w:val="661121E2"/>
    <w:rsid w:val="675853C5"/>
    <w:rsid w:val="69C95843"/>
    <w:rsid w:val="69E2284D"/>
    <w:rsid w:val="6A7374EE"/>
    <w:rsid w:val="6B0015B4"/>
    <w:rsid w:val="6BF55FC2"/>
    <w:rsid w:val="6E72020A"/>
    <w:rsid w:val="6E783501"/>
    <w:rsid w:val="6F01340B"/>
    <w:rsid w:val="6F8D32DA"/>
    <w:rsid w:val="6FCF30CF"/>
    <w:rsid w:val="70756DA5"/>
    <w:rsid w:val="709D2F56"/>
    <w:rsid w:val="70C00948"/>
    <w:rsid w:val="7173364B"/>
    <w:rsid w:val="71B4761C"/>
    <w:rsid w:val="71F90AAF"/>
    <w:rsid w:val="72B03567"/>
    <w:rsid w:val="73011F50"/>
    <w:rsid w:val="733E6D96"/>
    <w:rsid w:val="74EA5B80"/>
    <w:rsid w:val="775C3217"/>
    <w:rsid w:val="7A020420"/>
    <w:rsid w:val="7A1C4ECC"/>
    <w:rsid w:val="7B8622C0"/>
    <w:rsid w:val="7CCC3693"/>
    <w:rsid w:val="7D9A64D2"/>
    <w:rsid w:val="7E5F4B53"/>
    <w:rsid w:val="7FB629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customStyle="1" w:styleId="9">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8D0A8F-B2A8-462C-BA98-7316A4700A6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2775</Words>
  <Characters>2955</Characters>
  <Lines>26</Lines>
  <Paragraphs>7</Paragraphs>
  <TotalTime>1</TotalTime>
  <ScaleCrop>false</ScaleCrop>
  <LinksUpToDate>false</LinksUpToDate>
  <CharactersWithSpaces>4039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简单办公丶皎舟</cp:lastModifiedBy>
  <cp:lastPrinted>2020-11-20T07:09:00Z</cp:lastPrinted>
  <dcterms:modified xsi:type="dcterms:W3CDTF">2024-06-05T01:03:22Z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331E67A037634590AA3C1F91CCBBB972</vt:lpwstr>
  </property>
</Properties>
</file>