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869"/>
        <w:gridCol w:w="1179"/>
        <w:gridCol w:w="856"/>
        <w:gridCol w:w="1967"/>
        <w:gridCol w:w="2546"/>
        <w:gridCol w:w="3220"/>
        <w:gridCol w:w="952"/>
        <w:gridCol w:w="1176"/>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秦皇岛市市场监督管理局保留证明事项目录（2023年版）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序号</w:t>
            </w:r>
          </w:p>
        </w:tc>
        <w:tc>
          <w:tcPr>
            <w:tcW w:w="307"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事项</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名称</w:t>
            </w:r>
          </w:p>
        </w:tc>
        <w:tc>
          <w:tcPr>
            <w:tcW w:w="416"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事项</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用途</w:t>
            </w:r>
          </w:p>
        </w:tc>
        <w:tc>
          <w:tcPr>
            <w:tcW w:w="3029" w:type="pct"/>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设定依据</w:t>
            </w:r>
          </w:p>
        </w:tc>
        <w:tc>
          <w:tcPr>
            <w:tcW w:w="336"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索证</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部门</w:t>
            </w:r>
          </w:p>
        </w:tc>
        <w:tc>
          <w:tcPr>
            <w:tcW w:w="415"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出具</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部门</w:t>
            </w:r>
          </w:p>
        </w:tc>
        <w:tc>
          <w:tcPr>
            <w:tcW w:w="305"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32"/>
                <w:szCs w:val="32"/>
                <w:u w:val="none"/>
              </w:rPr>
            </w:pPr>
          </w:p>
        </w:tc>
        <w:tc>
          <w:tcPr>
            <w:tcW w:w="307"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32"/>
                <w:szCs w:val="32"/>
                <w:u w:val="none"/>
              </w:rPr>
            </w:pPr>
          </w:p>
        </w:tc>
        <w:tc>
          <w:tcPr>
            <w:tcW w:w="416"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32"/>
                <w:szCs w:val="32"/>
                <w:u w:val="none"/>
              </w:rPr>
            </w:pP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法律</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法规</w:t>
            </w:r>
          </w:p>
        </w:tc>
        <w:tc>
          <w:tcPr>
            <w:tcW w:w="89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国务院决定</w:t>
            </w:r>
          </w:p>
        </w:tc>
        <w:tc>
          <w:tcPr>
            <w:tcW w:w="11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规章等程序性规定</w:t>
            </w:r>
          </w:p>
        </w:tc>
        <w:tc>
          <w:tcPr>
            <w:tcW w:w="336"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32"/>
                <w:szCs w:val="32"/>
                <w:u w:val="none"/>
              </w:rPr>
            </w:pPr>
          </w:p>
        </w:tc>
        <w:tc>
          <w:tcPr>
            <w:tcW w:w="415"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32"/>
                <w:szCs w:val="32"/>
                <w:u w:val="none"/>
              </w:rPr>
            </w:pPr>
          </w:p>
        </w:tc>
        <w:tc>
          <w:tcPr>
            <w:tcW w:w="305"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5"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合法开业证明</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外国（地区）企业申请在中国境内从事生产经营活动注册、变更登记</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《外商投资法实施条例》（国务院令第723号，2020年1月1日起施行）第三十五条、第三十七条</w:t>
            </w: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《国务院对确需保留的行政审批项目设定行政许可的决定》（国务院令第412号，2004年7月1日起施行）第237项</w:t>
            </w: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《外国（地区）企业在中国境内从事生产经营活动登记管理办法》（国家工商行政管理局令第10号，2020年10月23日修订）第五条、第十条</w:t>
            </w: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国家市场监督管理总局授权的省、市、县市场监管部门</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投资者所在国（地区）发证机构以及我国驻该国使领馆</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auto"/>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0"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存续2年以上的合法营业证明</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外国企业申请设立代表机构</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fldChar w:fldCharType="begin"/>
            </w:r>
            <w:r>
              <w:rPr>
                <w:rFonts w:hint="eastAsia" w:ascii="宋体" w:hAnsi="宋体" w:eastAsia="宋体" w:cs="宋体"/>
                <w:i w:val="0"/>
                <w:iCs w:val="0"/>
                <w:color w:val="auto"/>
                <w:kern w:val="0"/>
                <w:sz w:val="32"/>
                <w:szCs w:val="32"/>
                <w:u w:val="none"/>
                <w:lang w:val="en-US" w:eastAsia="zh-CN" w:bidi="ar"/>
              </w:rPr>
              <w:instrText xml:space="preserve"> HYPERLINK "https://baike.baidu.com/item/%E4%B8%AD%E5%8D%8E%E4%BA%BA%E6%B0%91%E5%85%B1%E5%92%8C%E5%9B%BD%E5%9B%BD%E5%8A%A1%E9%99%A2%E4%BB%A4/1614689" \o "https://baike.baidu.com/item/%E4%B8%AD%E5%8D%8E%E4%BA%BA%E6%B0%91%E5%85%B1%E5%92%8C%E5%9B%BD%E5%9B%BD%E5%8A%A1%E9%99%A2%E4%BB%A4/1614689" </w:instrText>
            </w:r>
            <w:r>
              <w:rPr>
                <w:rFonts w:hint="eastAsia" w:ascii="宋体" w:hAnsi="宋体" w:eastAsia="宋体" w:cs="宋体"/>
                <w:i w:val="0"/>
                <w:iCs w:val="0"/>
                <w:color w:val="auto"/>
                <w:kern w:val="0"/>
                <w:sz w:val="32"/>
                <w:szCs w:val="32"/>
                <w:u w:val="none"/>
                <w:lang w:val="en-US" w:eastAsia="zh-CN" w:bidi="ar"/>
              </w:rPr>
              <w:fldChar w:fldCharType="separate"/>
            </w:r>
            <w:r>
              <w:rPr>
                <w:rStyle w:val="4"/>
                <w:rFonts w:hint="eastAsia" w:ascii="宋体" w:hAnsi="宋体" w:eastAsia="宋体" w:cs="宋体"/>
                <w:i w:val="0"/>
                <w:iCs w:val="0"/>
                <w:color w:val="auto"/>
                <w:sz w:val="32"/>
                <w:szCs w:val="32"/>
                <w:u w:val="none"/>
              </w:rPr>
              <w:t>《外国企业常驻代表机构登记管理条例》（国务院令第584号</w:t>
            </w:r>
            <w:r>
              <w:rPr>
                <w:rStyle w:val="4"/>
                <w:rFonts w:hint="eastAsia" w:ascii="宋体" w:hAnsi="宋体" w:eastAsia="宋体" w:cs="宋体"/>
                <w:i w:val="0"/>
                <w:iCs w:val="0"/>
                <w:color w:val="auto"/>
                <w:sz w:val="32"/>
                <w:szCs w:val="32"/>
                <w:u w:val="none"/>
                <w:lang w:eastAsia="zh-CN"/>
              </w:rPr>
              <w:t>，</w:t>
            </w:r>
            <w:r>
              <w:rPr>
                <w:rStyle w:val="4"/>
                <w:rFonts w:hint="eastAsia" w:ascii="宋体" w:hAnsi="宋体" w:eastAsia="宋体" w:cs="宋体"/>
                <w:i w:val="0"/>
                <w:iCs w:val="0"/>
                <w:color w:val="auto"/>
                <w:sz w:val="32"/>
                <w:szCs w:val="32"/>
                <w:u w:val="none"/>
              </w:rPr>
              <w:t>2013年7月18日修改）第二十三条</w:t>
            </w:r>
            <w:r>
              <w:rPr>
                <w:rFonts w:hint="eastAsia" w:ascii="宋体" w:hAnsi="宋体" w:eastAsia="宋体" w:cs="宋体"/>
                <w:i w:val="0"/>
                <w:iCs w:val="0"/>
                <w:color w:val="auto"/>
                <w:kern w:val="0"/>
                <w:sz w:val="32"/>
                <w:szCs w:val="32"/>
                <w:u w:val="none"/>
                <w:lang w:val="en-US" w:eastAsia="zh-CN" w:bidi="ar"/>
              </w:rPr>
              <w:fldChar w:fldCharType="end"/>
            </w: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《市场监管总局登记注册局关于更新〈市场主体登记提交材料规范〉〈市场主体登记文书规范〉的通知》（国市监注（司）函〔2022〕169号）</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外国（地区）企业常驻代表机构变更登记（备案）提交材料规范2.代表机构名称变更，提交外国企业住所证明和存续2年以上的合法营业证明</w:t>
            </w: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国家市场监督管理总局授权的省、市、县市场监管部门</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投资者所在国（地区）发证机构以及相关机构</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5"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外国投资方主体资格证明</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办理外商投资设立、变更手续</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《中华人民共和国外商投资法实施条例》（国务院令第723号，2020年1月1日起施行）第三十七条、第四十四条、第四十五条</w:t>
            </w: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市场监管总局登记注册局关于更新《市场主体登记提交材料规范》《市场主体登记文书规范》的通知（国市监注（司）函〔2022〕169号）</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公司设立登记提交材料规范3.股东、发起人为外国投资者的，其主体资格文件或身份证明应当经所在国家公证机关公证并经中国驻该国使（领）馆认证</w:t>
            </w: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国家市场监督管理总局授权的省、市、县市场监管部门</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投资者所在国（地区）发证机构以及我国驻该国使领馆</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0"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外国企业住所证明</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办理外国（地区）企业常驻代表机构设立、变更登记</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fldChar w:fldCharType="begin"/>
            </w:r>
            <w:r>
              <w:rPr>
                <w:rFonts w:hint="eastAsia" w:ascii="宋体" w:hAnsi="宋体" w:eastAsia="宋体" w:cs="宋体"/>
                <w:i w:val="0"/>
                <w:iCs w:val="0"/>
                <w:color w:val="auto"/>
                <w:kern w:val="0"/>
                <w:sz w:val="32"/>
                <w:szCs w:val="32"/>
                <w:u w:val="none"/>
                <w:lang w:val="en-US" w:eastAsia="zh-CN" w:bidi="ar"/>
              </w:rPr>
              <w:instrText xml:space="preserve"> HYPERLINK "https://baike.baidu.com/item/%E4%B8%AD%E5%8D%8E%E4%BA%BA%E6%B0%91%E5%85%B1%E5%92%8C%E5%9B%BD%E5%9B%BD%E5%8A%A1%E9%99%A2%E4%BB%A4/1614689" \o "https://baike.baidu.com/item/%E4%B8%AD%E5%8D%8E%E4%BA%BA%E6%B0%91%E5%85%B1%E5%92%8C%E5%9B%BD%E5%9B%BD%E5%8A%A1%E9%99%A2%E4%BB%A4/1614689" </w:instrText>
            </w:r>
            <w:r>
              <w:rPr>
                <w:rFonts w:hint="eastAsia" w:ascii="宋体" w:hAnsi="宋体" w:eastAsia="宋体" w:cs="宋体"/>
                <w:i w:val="0"/>
                <w:iCs w:val="0"/>
                <w:color w:val="auto"/>
                <w:kern w:val="0"/>
                <w:sz w:val="32"/>
                <w:szCs w:val="32"/>
                <w:u w:val="none"/>
                <w:lang w:val="en-US" w:eastAsia="zh-CN" w:bidi="ar"/>
              </w:rPr>
              <w:fldChar w:fldCharType="separate"/>
            </w:r>
            <w:r>
              <w:rPr>
                <w:rStyle w:val="4"/>
                <w:rFonts w:hint="eastAsia" w:ascii="宋体" w:hAnsi="宋体" w:eastAsia="宋体" w:cs="宋体"/>
                <w:i w:val="0"/>
                <w:iCs w:val="0"/>
                <w:color w:val="auto"/>
                <w:sz w:val="32"/>
                <w:szCs w:val="32"/>
                <w:u w:val="none"/>
              </w:rPr>
              <w:t>《外国企业常驻代表机构登记管理条例》（国务院令第584号</w:t>
            </w:r>
            <w:r>
              <w:rPr>
                <w:rStyle w:val="4"/>
                <w:rFonts w:hint="eastAsia" w:ascii="宋体" w:hAnsi="宋体" w:eastAsia="宋体" w:cs="宋体"/>
                <w:i w:val="0"/>
                <w:iCs w:val="0"/>
                <w:color w:val="auto"/>
                <w:sz w:val="32"/>
                <w:szCs w:val="32"/>
                <w:u w:val="none"/>
                <w:lang w:eastAsia="zh-CN"/>
              </w:rPr>
              <w:t>，</w:t>
            </w:r>
            <w:r>
              <w:rPr>
                <w:rStyle w:val="4"/>
                <w:rFonts w:hint="eastAsia" w:ascii="宋体" w:hAnsi="宋体" w:eastAsia="宋体" w:cs="宋体"/>
                <w:i w:val="0"/>
                <w:iCs w:val="0"/>
                <w:color w:val="auto"/>
                <w:sz w:val="32"/>
                <w:szCs w:val="32"/>
                <w:u w:val="none"/>
              </w:rPr>
              <w:t>2013年7月18日修改）第二十三条</w:t>
            </w:r>
            <w:r>
              <w:rPr>
                <w:rFonts w:hint="eastAsia" w:ascii="宋体" w:hAnsi="宋体" w:eastAsia="宋体" w:cs="宋体"/>
                <w:i w:val="0"/>
                <w:iCs w:val="0"/>
                <w:color w:val="auto"/>
                <w:kern w:val="0"/>
                <w:sz w:val="32"/>
                <w:szCs w:val="32"/>
                <w:u w:val="none"/>
                <w:lang w:val="en-US" w:eastAsia="zh-CN" w:bidi="ar"/>
              </w:rPr>
              <w:fldChar w:fldCharType="end"/>
            </w: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市场监管总局登记注册局关于更新《市场主体登记提交材料规范》《市场主体登记文书规范》的通知（市监注（司）函〔2022〕169 号）附件3第一部分</w:t>
            </w: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国家市场监督管理总局授权的省、市、县市场监管部门</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投资者所在国（地区）发证机构以及我国驻该国使领馆</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0"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5</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资金信用证明</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办理外国（地区）企业常驻代表机构设立登记，外国（地区）企业申请在中国境内从事生产经营活动注册、变更登记</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《外国企业常驻代表机构登记管理条例》（国务院令第584号，2013年7月18日修订）第二十三条</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《外商投资法实施条例》（国务院令第723号）第三十五条、第三十七条</w:t>
            </w: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《外国（地区）企业在中国境内从事生产经营活动登记管理办法》（国家工商行政管理局令第10号，2020年10月23日修订）第五条、第十条</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市场监管总局登记注册局关于更新《市场主体登记提交材料规范》《市场主体登记文书规范》的通知（市监注（司）函〔2022〕169 号）附件3第一部分</w:t>
            </w: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国家市场监督管理总局授权的省、市、县市场监管部门</w:t>
            </w:r>
            <w:bookmarkStart w:id="0" w:name="_GoBack"/>
            <w:bookmarkEnd w:id="0"/>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投资者所在国（地区）发证机构以及相关机构</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0"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6</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企业住所或生产地址名称变更的证明</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企业办理工业产品生产许可证住所或生产地址名称变更</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《中华人民共和国工业产品生产许可证管理条例》（国务院令第440号，2023年7月20日修订）第十条</w:t>
            </w: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《工业产品生产许可证实施细则通则》（国家市场监督管理总局公告2018年第26号）第十一条</w:t>
            </w: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市级市场监管部门、行政审批部门</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企业所在地行政区划主管部门</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5"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7</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居民住宅改为商务用房不扰民证明</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将住宅改为经营性用房</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《中华人民共和国民法典》第二百七十九条</w:t>
            </w: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市、县级市场监管部门、行政审批部门</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有利害关系的业主</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0"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8</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姓名或名称更改证明</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申请股权出质变更登记</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《中华人民共和国民法典》第四百四十条</w:t>
            </w: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《工商行政管理机关股权出质登记办法》（国家工商行政管理局总令第32号）第九条</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市场监管总局关于印发 《市场主体登记文书规范》 《市场主体登记提交材料规范》的通知（国市监注发〔2022〕24号）</w:t>
            </w: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市、县级市场监管部门、行政审批部门</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户口所在地公安派出所、市场监管部门、出质人或质权人登记机关</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自然人身份证号码一致的无需提交改名证明，只需提交新的身份证件复印件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0" w:hRule="atLeast"/>
        </w:trPr>
        <w:tc>
          <w:tcPr>
            <w:tcW w:w="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9</w:t>
            </w:r>
          </w:p>
        </w:tc>
        <w:tc>
          <w:tcPr>
            <w:tcW w:w="3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名称或姓名变更证明（外资）</w:t>
            </w:r>
          </w:p>
        </w:tc>
        <w:tc>
          <w:tcPr>
            <w:tcW w:w="41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企业设立变更登记（外资）</w:t>
            </w:r>
          </w:p>
        </w:tc>
        <w:tc>
          <w:tcPr>
            <w:tcW w:w="3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6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《中华人民共和国市场主体登记管理条例》（国令第746号）第八条、第二十四条</w:t>
            </w:r>
          </w:p>
        </w:tc>
        <w:tc>
          <w:tcPr>
            <w:tcW w:w="8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32"/>
                <w:szCs w:val="32"/>
                <w:u w:val="none"/>
              </w:rPr>
            </w:pPr>
          </w:p>
        </w:tc>
        <w:tc>
          <w:tcPr>
            <w:tcW w:w="11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《中华人民共和国市场主体登记管理条例实施细则》第四十六条</w:t>
            </w:r>
          </w:p>
        </w:tc>
        <w:tc>
          <w:tcPr>
            <w:tcW w:w="3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市、县级市场监管部门、行政审批部门</w:t>
            </w:r>
          </w:p>
        </w:tc>
        <w:tc>
          <w:tcPr>
            <w:tcW w:w="4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股东、发起人、投资人、出资人（主管部门）、合伙人登记机关、户口所在地公安派出所</w:t>
            </w:r>
          </w:p>
        </w:tc>
        <w:tc>
          <w:tcPr>
            <w:tcW w:w="30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自然人身份证号码一致的无需提交改名证明，只需提交新的身份证件复印件</w:t>
            </w:r>
          </w:p>
        </w:tc>
      </w:tr>
    </w:tbl>
    <w:p>
      <w:pPr>
        <w:keepNext w:val="0"/>
        <w:keepLines w:val="0"/>
        <w:pageBreakBefore w:val="0"/>
        <w:kinsoku/>
        <w:wordWrap/>
        <w:overflowPunct/>
        <w:topLinePunct w:val="0"/>
        <w:autoSpaceDE/>
        <w:autoSpaceDN/>
        <w:bidi w:val="0"/>
        <w:adjustRightInd/>
        <w:snapToGrid/>
        <w:spacing w:line="40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jkwMjQwMzYwYmM5YjgzODc2YTI3NTM5MGUxM2EifQ=="/>
    <w:docVar w:name="KSO_WPS_MARK_KEY" w:val="44e81b5d-b237-465f-90a0-b623d164ca75"/>
  </w:docVars>
  <w:rsids>
    <w:rsidRoot w:val="30223CB7"/>
    <w:rsid w:val="141400D5"/>
    <w:rsid w:val="25867FD4"/>
    <w:rsid w:val="2ED715E0"/>
    <w:rsid w:val="30223CB7"/>
    <w:rsid w:val="49562FE0"/>
    <w:rsid w:val="4C920235"/>
    <w:rsid w:val="5A7A11AE"/>
    <w:rsid w:val="5B233E07"/>
    <w:rsid w:val="6828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1861</Words>
  <Characters>1955</Characters>
  <Lines>0</Lines>
  <Paragraphs>0</Paragraphs>
  <TotalTime>7</TotalTime>
  <ScaleCrop>false</ScaleCrop>
  <LinksUpToDate>false</LinksUpToDate>
  <CharactersWithSpaces>1959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2024-04-19T08:05:00Z</dcterms:created>
  <dc:creator>田铭</dc:creator>
  <cp:lastModifiedBy>简单办公丶皎舟</cp:lastModifiedBy>
  <dcterms:modified xsi:type="dcterms:W3CDTF">2024-04-22T01:54:39Z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DA2DE3BEF69E4B64A23A6241328CC7BC_11</vt:lpwstr>
  </property>
</Properties>
</file>