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lang w:eastAsia="zh-CN"/>
        </w:rPr>
        <w:t>不予</w:t>
      </w:r>
      <w:r>
        <w:rPr>
          <w:rFonts w:hint="eastAsia" w:ascii="Times New Roman" w:hAnsi="方正小标宋简体"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仿宋" w:hAnsi="仿宋" w:eastAsia="仿宋" w:cs="仿宋"/>
          <w:color w:val="000000"/>
          <w:sz w:val="32"/>
          <w:szCs w:val="32"/>
          <w:u w:val="none"/>
        </w:rPr>
      </w:pPr>
      <w:r>
        <w:rPr>
          <w:rFonts w:ascii="仿宋" w:hAnsi="仿宋" w:eastAsia="仿宋" w:cs="Times New Roman"/>
          <w:szCs w:val="24"/>
          <w:u w:val="none"/>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761990" cy="1270"/>
                        </a:xfrm>
                        <a:prstGeom prst="straightConnector1">
                          <a:avLst/>
                        </a:prstGeom>
                        <a:noFill/>
                        <a:ln w="19050" cap="sq">
                          <a:solidFill>
                            <a:srgbClr val="000000"/>
                          </a:solidFill>
                          <a:round/>
                        </a:ln>
                        <a:effectLst/>
                      </wps:spPr>
                      <wps:bodyPr/>
                    </wps:wsp>
                  </a:graphicData>
                </a:graphic>
              </wp:anchor>
            </w:drawing>
          </mc:Choice>
          <mc:Fallback>
            <w:pict>
              <v:shape id="_x0000_s1026" o:spid="_x0000_s1026" o:spt="32" type="#_x0000_t32" style="position:absolute;left:0pt;margin-left:2pt;margin-top:1638pt;height:0.1pt;width:453.7pt;z-index:251660288;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L&#10;Xiia2gAAAAsBAAAPAAAAAAAAAAEAIAAAACIAAABkcnMvZG93bnJldi54bWxQSwECFAAUAAAACACH&#10;TuJAbphfRekBAACLAwAADgAAAAAAAAABACAAAAApAQAAZHJzL2Uyb0RvYy54bWxQSwUGAAAAAAYA&#10;BgBZAQAAhAUAAAAA&#10;">
                <v:fill on="f" focussize="0,0"/>
                <v:stroke weight="1.5pt" color="#000000" joinstyle="round" endcap="square"/>
                <v:imagedata o:title=""/>
                <o:lock v:ext="edit" aspectratio="f"/>
              </v:shape>
            </w:pict>
          </mc:Fallback>
        </mc:AlternateContent>
      </w:r>
      <w:r>
        <w:rPr>
          <w:rFonts w:ascii="仿宋" w:hAnsi="仿宋" w:eastAsia="仿宋" w:cs="仿宋"/>
          <w:color w:val="000000"/>
          <w:sz w:val="32"/>
          <w:szCs w:val="32"/>
          <w:u w:val="none"/>
        </w:rPr>
        <w:t xml:space="preserve">  </w:t>
      </w:r>
      <w:r>
        <w:rPr>
          <w:rFonts w:hint="eastAsia" w:ascii="仿宋" w:hAnsi="仿宋" w:eastAsia="仿宋" w:cs="仿宋"/>
          <w:color w:val="000000"/>
          <w:sz w:val="32"/>
          <w:szCs w:val="32"/>
          <w:u w:val="none"/>
        </w:rPr>
        <w:t>秦</w:t>
      </w:r>
      <w:r>
        <w:rPr>
          <w:rFonts w:hint="eastAsia" w:ascii="仿宋" w:hAnsi="仿宋" w:eastAsia="仿宋" w:cs="宋体"/>
          <w:color w:val="000000"/>
          <w:sz w:val="32"/>
          <w:szCs w:val="32"/>
          <w:u w:val="none"/>
        </w:rPr>
        <w:t>市监</w:t>
      </w:r>
      <w:r>
        <w:rPr>
          <w:rFonts w:hint="eastAsia" w:ascii="仿宋" w:hAnsi="仿宋" w:eastAsia="仿宋" w:cs="宋体"/>
          <w:color w:val="000000"/>
          <w:sz w:val="32"/>
          <w:szCs w:val="32"/>
          <w:u w:val="none"/>
          <w:lang w:eastAsia="zh-CN"/>
        </w:rPr>
        <w:t>不罚</w:t>
      </w:r>
      <w:r>
        <w:rPr>
          <w:rFonts w:hint="eastAsia" w:ascii="仿宋" w:hAnsi="仿宋" w:eastAsia="仿宋" w:cs="宋体"/>
          <w:color w:val="000000"/>
          <w:sz w:val="32"/>
          <w:szCs w:val="32"/>
          <w:u w:val="none"/>
        </w:rPr>
        <w:t>〔</w:t>
      </w:r>
      <w:r>
        <w:rPr>
          <w:rFonts w:hint="eastAsia" w:ascii="仿宋" w:hAnsi="仿宋" w:eastAsia="仿宋" w:cs="仿宋"/>
          <w:color w:val="000000"/>
          <w:sz w:val="32"/>
          <w:szCs w:val="32"/>
          <w:u w:val="none"/>
        </w:rPr>
        <w:t>202</w:t>
      </w:r>
      <w:r>
        <w:rPr>
          <w:rFonts w:hint="eastAsia" w:ascii="仿宋" w:hAnsi="仿宋" w:eastAsia="仿宋" w:cs="仿宋"/>
          <w:color w:val="000000"/>
          <w:sz w:val="32"/>
          <w:szCs w:val="32"/>
          <w:u w:val="none"/>
          <w:lang w:val="en-US" w:eastAsia="zh-CN"/>
        </w:rPr>
        <w:t>3</w:t>
      </w:r>
      <w:r>
        <w:rPr>
          <w:rFonts w:hint="eastAsia" w:ascii="仿宋" w:hAnsi="仿宋" w:eastAsia="仿宋" w:cs="宋体"/>
          <w:color w:val="000000"/>
          <w:sz w:val="32"/>
          <w:szCs w:val="32"/>
          <w:u w:val="none"/>
        </w:rPr>
        <w:t>〕</w:t>
      </w:r>
      <w:r>
        <w:rPr>
          <w:rFonts w:hint="eastAsia" w:ascii="仿宋" w:hAnsi="仿宋" w:eastAsia="仿宋" w:cs="仿宋"/>
          <w:color w:val="000000" w:themeColor="text1"/>
          <w:sz w:val="32"/>
          <w:szCs w:val="32"/>
          <w:u w:val="none"/>
          <w:lang w:val="en-US" w:eastAsia="zh-CN"/>
        </w:rPr>
        <w:t>1101</w:t>
      </w:r>
      <w:r>
        <w:rPr>
          <w:rFonts w:hint="eastAsia" w:ascii="仿宋" w:hAnsi="仿宋" w:eastAsia="仿宋" w:cs="宋体"/>
          <w:color w:val="auto"/>
          <w:sz w:val="32"/>
          <w:szCs w:val="32"/>
          <w:u w:val="none"/>
        </w:rPr>
        <w:t>号</w:t>
      </w:r>
    </w:p>
    <w:p>
      <w:pPr>
        <w:spacing w:line="520" w:lineRule="exact"/>
        <w:rPr>
          <w:rFonts w:hint="eastAsia" w:ascii="仿宋" w:hAnsi="仿宋" w:eastAsia="仿宋" w:cs="??_GB2312"/>
          <w:sz w:val="32"/>
          <w:szCs w:val="32"/>
          <w:u w:val="none"/>
        </w:rPr>
      </w:pPr>
      <w:r>
        <w:rPr>
          <w:rFonts w:hint="eastAsia" w:ascii="仿宋" w:hAnsi="仿宋" w:eastAsia="仿宋" w:cs="??_GB2312"/>
          <w:sz w:val="32"/>
          <w:szCs w:val="32"/>
          <w:u w:val="none"/>
          <w:lang w:eastAsia="zh-CN"/>
        </w:rPr>
        <w:t>当事人</w:t>
      </w:r>
      <w:r>
        <w:rPr>
          <w:rFonts w:hint="eastAsia" w:ascii="仿宋" w:hAnsi="仿宋" w:eastAsia="仿宋" w:cs="??_GB2312"/>
          <w:sz w:val="32"/>
          <w:szCs w:val="32"/>
          <w:u w:val="none"/>
        </w:rPr>
        <w:t>：</w:t>
      </w:r>
      <w:bookmarkStart w:id="0" w:name="_GoBack"/>
      <w:r>
        <w:rPr>
          <w:rFonts w:hint="eastAsia" w:ascii="仿宋" w:hAnsi="仿宋" w:eastAsia="仿宋" w:cs="??_GB2312"/>
          <w:sz w:val="32"/>
          <w:szCs w:val="32"/>
          <w:u w:val="none"/>
          <w:lang w:val="en-US" w:eastAsia="zh-CN"/>
        </w:rPr>
        <w:t>秦皇岛经济技术开发区关东独一处饭店</w:t>
      </w:r>
      <w:bookmarkEnd w:id="0"/>
      <w:r>
        <w:rPr>
          <w:rFonts w:hint="eastAsia" w:ascii="仿宋" w:hAnsi="仿宋" w:eastAsia="仿宋" w:cs="??_GB2312"/>
          <w:sz w:val="32"/>
          <w:szCs w:val="32"/>
          <w:u w:val="none"/>
        </w:rPr>
        <w:t>；</w:t>
      </w:r>
    </w:p>
    <w:p>
      <w:pPr>
        <w:spacing w:line="500" w:lineRule="exact"/>
        <w:ind w:left="140" w:hanging="140"/>
        <w:rPr>
          <w:rFonts w:ascii="仿宋" w:hAnsi="仿宋" w:eastAsia="仿宋" w:cs="Mongolian Baiti"/>
          <w:sz w:val="32"/>
          <w:szCs w:val="32"/>
          <w:u w:val="none"/>
        </w:rPr>
      </w:pPr>
      <w:r>
        <w:rPr>
          <w:rFonts w:hint="eastAsia" w:ascii="仿宋" w:hAnsi="仿宋" w:eastAsia="仿宋" w:cs="宋体"/>
          <w:kern w:val="1"/>
          <w:sz w:val="32"/>
          <w:szCs w:val="32"/>
          <w:u w:val="none"/>
        </w:rPr>
        <w:t>主体资格证照名称：</w:t>
      </w:r>
      <w:r>
        <w:rPr>
          <w:rFonts w:hint="eastAsia" w:ascii="仿宋" w:hAnsi="仿宋" w:eastAsia="仿宋" w:cs="??_GB2312"/>
          <w:sz w:val="32"/>
          <w:szCs w:val="32"/>
          <w:u w:val="none"/>
          <w:lang w:eastAsia="zh-CN"/>
        </w:rPr>
        <w:t>营业执照；</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rPr>
        <w:t xml:space="preserve">  </w:t>
      </w:r>
      <w:r>
        <w:rPr>
          <w:rFonts w:ascii="仿宋" w:hAnsi="仿宋" w:eastAsia="仿宋" w:cs="Mongolian Baiti"/>
          <w:kern w:val="1"/>
          <w:sz w:val="32"/>
          <w:szCs w:val="32"/>
          <w:u w:val="none"/>
        </w:rPr>
        <w:t xml:space="preserve">        </w:t>
      </w:r>
    </w:p>
    <w:p>
      <w:pPr>
        <w:spacing w:line="500" w:lineRule="exact"/>
        <w:ind w:left="140" w:hanging="140"/>
        <w:rPr>
          <w:rFonts w:ascii="仿宋" w:hAnsi="仿宋" w:eastAsia="仿宋" w:cs="Mongolian Baiti"/>
          <w:kern w:val="1"/>
          <w:sz w:val="32"/>
          <w:szCs w:val="32"/>
          <w:u w:val="none"/>
        </w:rPr>
      </w:pPr>
      <w:r>
        <w:rPr>
          <w:rFonts w:hint="eastAsia" w:ascii="仿宋" w:hAnsi="仿宋" w:eastAsia="仿宋" w:cs="??_GB2312"/>
          <w:sz w:val="32"/>
          <w:szCs w:val="32"/>
          <w:u w:val="none"/>
        </w:rPr>
        <w:t>统一社会信用代码：</w:t>
      </w:r>
      <w:r>
        <w:rPr>
          <w:rFonts w:hint="eastAsia" w:ascii="仿宋" w:hAnsi="仿宋" w:eastAsia="仿宋" w:cs="??_GB2312"/>
          <w:sz w:val="32"/>
          <w:szCs w:val="32"/>
          <w:u w:val="none"/>
          <w:lang w:val="en-US" w:eastAsia="zh-CN"/>
        </w:rPr>
        <w:t>92130301MA096N1E1G</w:t>
      </w:r>
      <w:r>
        <w:rPr>
          <w:rFonts w:hint="eastAsia" w:ascii="仿宋" w:hAnsi="仿宋" w:eastAsia="仿宋" w:cs="??_GB2312"/>
          <w:sz w:val="32"/>
          <w:szCs w:val="32"/>
          <w:u w:val="none"/>
        </w:rPr>
        <w:t>；</w:t>
      </w:r>
      <w:r>
        <w:rPr>
          <w:rFonts w:ascii="仿宋" w:hAnsi="仿宋" w:eastAsia="仿宋" w:cs="Mongolian Baiti"/>
          <w:kern w:val="1"/>
          <w:sz w:val="32"/>
          <w:szCs w:val="32"/>
          <w:u w:val="none"/>
        </w:rPr>
        <w:t xml:space="preserve">                                   </w:t>
      </w:r>
    </w:p>
    <w:p>
      <w:pPr>
        <w:spacing w:line="500" w:lineRule="exact"/>
        <w:ind w:left="960" w:hanging="960" w:hangingChars="300"/>
        <w:rPr>
          <w:rFonts w:ascii="仿宋" w:hAnsi="仿宋" w:eastAsia="仿宋" w:cs="Mongolian Baiti"/>
          <w:kern w:val="1"/>
          <w:sz w:val="32"/>
          <w:szCs w:val="32"/>
          <w:u w:val="none"/>
        </w:rPr>
      </w:pPr>
      <w:r>
        <w:rPr>
          <w:rFonts w:hint="eastAsia" w:ascii="仿宋" w:hAnsi="仿宋" w:eastAsia="仿宋" w:cs="??_GB2312"/>
          <w:sz w:val="32"/>
          <w:szCs w:val="32"/>
          <w:u w:val="none"/>
          <w:lang w:eastAsia="zh-CN"/>
        </w:rPr>
        <w:t>住所（住址）</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秦皇岛开发区长江西道81号</w:t>
      </w:r>
      <w:r>
        <w:rPr>
          <w:rFonts w:hint="eastAsia" w:ascii="仿宋" w:hAnsi="仿宋" w:eastAsia="仿宋" w:cs="??_GB2312"/>
          <w:sz w:val="32"/>
          <w:szCs w:val="32"/>
          <w:u w:val="none"/>
        </w:rPr>
        <w:t>；</w:t>
      </w:r>
      <w:r>
        <w:rPr>
          <w:rFonts w:ascii="仿宋" w:hAnsi="仿宋" w:eastAsia="仿宋" w:cs="Mongolian Baiti"/>
          <w:bCs/>
          <w:kern w:val="1"/>
          <w:sz w:val="32"/>
          <w:szCs w:val="32"/>
          <w:u w:val="none"/>
        </w:rPr>
        <w:t xml:space="preserve">                                               </w:t>
      </w:r>
    </w:p>
    <w:p>
      <w:pPr>
        <w:spacing w:line="500" w:lineRule="exact"/>
        <w:rPr>
          <w:rFonts w:ascii="仿宋" w:hAnsi="仿宋" w:eastAsia="仿宋" w:cs="Mongolian Baiti"/>
          <w:kern w:val="1"/>
          <w:sz w:val="32"/>
          <w:szCs w:val="32"/>
          <w:u w:val="none"/>
        </w:rPr>
      </w:pPr>
      <w:r>
        <w:rPr>
          <w:rFonts w:hint="eastAsia" w:ascii="仿宋" w:hAnsi="仿宋" w:eastAsia="仿宋" w:cs="??_GB2312"/>
          <w:sz w:val="32"/>
          <w:szCs w:val="32"/>
          <w:u w:val="none"/>
          <w:lang w:eastAsia="zh-CN"/>
        </w:rPr>
        <w:t>法定代表人（负责人、经营者）</w:t>
      </w:r>
      <w:r>
        <w:rPr>
          <w:rFonts w:hint="eastAsia" w:ascii="仿宋" w:hAnsi="仿宋" w:eastAsia="仿宋" w:cs="??_GB2312"/>
          <w:sz w:val="32"/>
          <w:szCs w:val="32"/>
          <w:u w:val="none"/>
        </w:rPr>
        <w:t>：</w:t>
      </w:r>
      <w:r>
        <w:rPr>
          <w:rFonts w:hint="eastAsia" w:ascii="仿宋" w:hAnsi="仿宋" w:eastAsia="仿宋" w:cs="??_GB2312"/>
          <w:sz w:val="32"/>
          <w:szCs w:val="32"/>
          <w:u w:val="none"/>
          <w:lang w:val="en-US" w:eastAsia="zh-CN"/>
        </w:rPr>
        <w:t>丛英花</w:t>
      </w:r>
      <w:r>
        <w:rPr>
          <w:rFonts w:hint="eastAsia" w:ascii="仿宋" w:hAnsi="仿宋" w:eastAsia="仿宋" w:cs="??_GB2312"/>
          <w:sz w:val="32"/>
          <w:szCs w:val="32"/>
          <w:u w:val="none"/>
        </w:rPr>
        <w:t>；</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spacing w:line="500" w:lineRule="exact"/>
        <w:ind w:left="140" w:hanging="140"/>
        <w:rPr>
          <w:rFonts w:ascii="仿宋" w:hAnsi="仿宋" w:eastAsia="仿宋" w:cs="Mongolian Baiti"/>
          <w:sz w:val="32"/>
          <w:szCs w:val="32"/>
          <w:u w:val="none"/>
        </w:rPr>
      </w:pPr>
      <w:r>
        <w:rPr>
          <w:rFonts w:hint="eastAsia" w:ascii="仿宋" w:hAnsi="仿宋" w:eastAsia="仿宋" w:cs="宋体"/>
          <w:spacing w:val="-26"/>
          <w:kern w:val="1"/>
          <w:sz w:val="32"/>
          <w:szCs w:val="32"/>
          <w:u w:val="none"/>
        </w:rPr>
        <w:t>身份证号码：</w:t>
      </w:r>
      <w:r>
        <w:rPr>
          <w:rFonts w:hint="eastAsia" w:ascii="仿宋" w:hAnsi="仿宋" w:eastAsia="仿宋" w:cs="仿宋"/>
          <w:kern w:val="1"/>
          <w:sz w:val="32"/>
          <w:szCs w:val="32"/>
          <w:u w:val="none"/>
          <w:lang w:val="en-US" w:eastAsia="zh-CN"/>
        </w:rPr>
        <w:t>220303********3222</w:t>
      </w:r>
      <w:r>
        <w:rPr>
          <w:rFonts w:hint="eastAsia" w:ascii="仿宋" w:hAnsi="仿宋" w:eastAsia="仿宋" w:cs="仿宋"/>
          <w:spacing w:val="-26"/>
          <w:kern w:val="1"/>
          <w:sz w:val="32"/>
          <w:szCs w:val="32"/>
          <w:u w:val="none"/>
          <w:lang w:eastAsia="zh-CN"/>
        </w:rPr>
        <w:t>。</w:t>
      </w:r>
      <w:r>
        <w:rPr>
          <w:rFonts w:hint="eastAsia" w:ascii="仿宋" w:hAnsi="仿宋" w:eastAsia="仿宋" w:cs="仿宋"/>
          <w:kern w:val="1"/>
          <w:sz w:val="32"/>
          <w:szCs w:val="32"/>
          <w:u w:val="none"/>
        </w:rPr>
        <w:t xml:space="preserve"> </w:t>
      </w:r>
      <w:r>
        <w:rPr>
          <w:rFonts w:ascii="仿宋" w:hAnsi="仿宋" w:eastAsia="仿宋" w:cs="Mongolian Baiti"/>
          <w:kern w:val="1"/>
          <w:sz w:val="32"/>
          <w:szCs w:val="32"/>
          <w:u w:val="none"/>
        </w:rPr>
        <w:t xml:space="preserve">                                                                           </w:t>
      </w:r>
      <w:r>
        <w:rPr>
          <w:rFonts w:hint="eastAsia" w:ascii="仿宋" w:hAnsi="仿宋" w:eastAsia="仿宋" w:cs="Mongolian Baiti"/>
          <w:kern w:val="1"/>
          <w:sz w:val="32"/>
          <w:szCs w:val="32"/>
          <w:u w:val="none"/>
          <w:lang w:val="en-US" w:eastAsia="zh-CN"/>
        </w:rPr>
        <w:t xml:space="preserve">        </w:t>
      </w:r>
      <w:r>
        <w:rPr>
          <w:rFonts w:ascii="仿宋" w:hAnsi="仿宋" w:eastAsia="仿宋" w:cs="Mongolian Baiti"/>
          <w:kern w:val="1"/>
          <w:sz w:val="32"/>
          <w:szCs w:val="32"/>
          <w:u w:val="none"/>
        </w:rPr>
        <w:t xml:space="preserve"> </w:t>
      </w:r>
    </w:p>
    <w:p>
      <w:pPr>
        <w:ind w:right="233" w:rightChars="111" w:firstLine="640" w:firstLineChars="200"/>
        <w:jc w:val="left"/>
        <w:rPr>
          <w:rFonts w:hint="eastAsia" w:ascii="仿宋" w:hAnsi="仿宋" w:eastAsia="仿宋" w:cs="仿宋"/>
          <w:bCs/>
          <w:sz w:val="32"/>
          <w:szCs w:val="32"/>
        </w:rPr>
      </w:pPr>
      <w:r>
        <w:rPr>
          <w:rFonts w:hint="eastAsia" w:ascii="仿宋" w:hAnsi="仿宋" w:eastAsia="仿宋" w:cs="仿宋"/>
          <w:bCs/>
          <w:sz w:val="32"/>
          <w:szCs w:val="32"/>
        </w:rPr>
        <w:t>2023年7月31日，本局由“国家食品安全抽样检验信息系统”平台接</w:t>
      </w:r>
      <w:r>
        <w:rPr>
          <w:rFonts w:hint="eastAsia" w:ascii="仿宋" w:hAnsi="仿宋" w:eastAsia="仿宋" w:cs="仿宋"/>
          <w:bCs/>
          <w:sz w:val="32"/>
          <w:szCs w:val="32"/>
          <w:lang w:eastAsia="zh-CN"/>
        </w:rPr>
        <w:t>收</w:t>
      </w:r>
      <w:r>
        <w:rPr>
          <w:rFonts w:hint="eastAsia" w:ascii="仿宋" w:hAnsi="仿宋" w:eastAsia="仿宋" w:cs="仿宋"/>
          <w:bCs/>
          <w:sz w:val="32"/>
          <w:szCs w:val="32"/>
        </w:rPr>
        <w:t>到检验报告（№: JSP2023CJ12142）、（№: JSP2023CJ12143）后，指派</w:t>
      </w:r>
      <w:r>
        <w:rPr>
          <w:rFonts w:hint="eastAsia" w:ascii="仿宋" w:hAnsi="仿宋" w:eastAsia="仿宋" w:cs="仿宋"/>
          <w:bCs/>
          <w:sz w:val="32"/>
          <w:szCs w:val="32"/>
          <w:lang w:eastAsia="zh-CN"/>
        </w:rPr>
        <w:t>两名</w:t>
      </w:r>
      <w:r>
        <w:rPr>
          <w:rFonts w:hint="eastAsia" w:ascii="仿宋" w:hAnsi="仿宋" w:eastAsia="仿宋" w:cs="仿宋"/>
          <w:bCs/>
          <w:sz w:val="32"/>
          <w:szCs w:val="32"/>
        </w:rPr>
        <w:t>执法人员为当事人送达了上述检验报告</w:t>
      </w:r>
      <w:r>
        <w:rPr>
          <w:rFonts w:hint="eastAsia" w:ascii="仿宋" w:hAnsi="仿宋" w:eastAsia="仿宋" w:cs="仿宋"/>
          <w:bCs/>
          <w:sz w:val="32"/>
          <w:szCs w:val="32"/>
          <w:lang w:eastAsia="zh-CN"/>
        </w:rPr>
        <w:t>，</w:t>
      </w:r>
      <w:r>
        <w:rPr>
          <w:rFonts w:hint="eastAsia" w:ascii="仿宋" w:hAnsi="仿宋" w:eastAsia="仿宋" w:cs="仿宋"/>
          <w:bCs/>
          <w:sz w:val="32"/>
          <w:szCs w:val="32"/>
        </w:rPr>
        <w:t>并对其经营场所进行了现场检查，</w:t>
      </w:r>
      <w:r>
        <w:rPr>
          <w:rFonts w:hint="eastAsia" w:ascii="仿宋" w:hAnsi="仿宋" w:eastAsia="仿宋" w:cs="仿宋"/>
          <w:bCs/>
          <w:sz w:val="32"/>
          <w:szCs w:val="32"/>
          <w:lang w:val="en-US" w:eastAsia="zh-CN"/>
        </w:rPr>
        <w:t>现场负责人方艳伶</w:t>
      </w:r>
      <w:r>
        <w:rPr>
          <w:rFonts w:hint="eastAsia" w:ascii="仿宋" w:hAnsi="仿宋" w:eastAsia="仿宋" w:cs="仿宋"/>
          <w:bCs/>
          <w:sz w:val="32"/>
          <w:szCs w:val="32"/>
        </w:rPr>
        <w:t>签收了上述检验报告并提供了当事人营业执照等相关的资料。本局告知当事人如果对上述检验报告及其检验结论有异议，可在收到</w:t>
      </w:r>
      <w:r>
        <w:rPr>
          <w:rFonts w:hint="eastAsia" w:ascii="仿宋" w:hAnsi="仿宋" w:eastAsia="仿宋" w:cs="仿宋"/>
          <w:bCs/>
          <w:sz w:val="32"/>
          <w:szCs w:val="32"/>
          <w:lang w:eastAsia="zh-CN"/>
        </w:rPr>
        <w:t>检验报告</w:t>
      </w:r>
      <w:r>
        <w:rPr>
          <w:rFonts w:hint="eastAsia" w:ascii="仿宋" w:hAnsi="仿宋" w:eastAsia="仿宋" w:cs="仿宋"/>
          <w:bCs/>
          <w:sz w:val="32"/>
          <w:szCs w:val="32"/>
        </w:rPr>
        <w:t>之日起7个工作日内，向本局提出书面复检申请，并提交相关证明材料；逾期未提出复检的，视为认可检验结论；逾期未提出异议的或者未提供有效证明材料的，视同无异议。当事人对上述检验报告及其检验结论予以认可，在规定的期限内未提出异议以及复检申请。为进一步调查案情，经分局部门负责人批准，本局于2023年</w:t>
      </w:r>
      <w:r>
        <w:rPr>
          <w:rFonts w:hint="eastAsia" w:ascii="仿宋" w:hAnsi="仿宋" w:eastAsia="仿宋" w:cs="仿宋"/>
          <w:bCs/>
          <w:sz w:val="32"/>
          <w:szCs w:val="32"/>
          <w:lang w:val="en-US" w:eastAsia="zh-CN"/>
        </w:rPr>
        <w:t>8</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11</w:t>
      </w:r>
      <w:r>
        <w:rPr>
          <w:rFonts w:hint="eastAsia" w:ascii="仿宋" w:hAnsi="仿宋" w:eastAsia="仿宋" w:cs="仿宋"/>
          <w:bCs/>
          <w:sz w:val="32"/>
          <w:szCs w:val="32"/>
        </w:rPr>
        <w:t>日予以立案调查。</w:t>
      </w:r>
    </w:p>
    <w:p>
      <w:pPr>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经查：2023年7月7日，河北省市场监督管理局委托河北省食品检验研究院对当事人经营的“羊后腿肉”（食品名称：羊后腿肉，购进日期：2023-07-02，被抽样单位名称：秦皇岛经济技术开发区关东独一处饭店，标称生产者名称：秦皇岛市天元牧业有限责任公司 ，联系电话：13393356808，样品数量：2.75kg，抽样基数：8kg。）、“猪里脊肉”（食品名称：猪里脊肉，购进日期：2023-07-04，被抽样单位名称：秦皇岛经济技术开发区关东独一处饭店，标称生产者名称：秦皇岛巽海食品有限公司 ，联系电话：13393356808，样品数量：2.5kg，抽样基数：6kg。）进行了食品安全监督抽检；2023年7月27日分别出具了检验报告（№: JSP2023CJ12142）、（№: JSP2023CJ12143）；检验项目：五氯酚酸钠（以五氯酚计），μg/kg，实测值分别为：2.4、2.6，标准指标：不得检出，单项判定：不合格，检验依据：GB 23200.92-2016；检验结论均为：经抽样检验，五氯酚酸钠(以五氯酚计)项目不符合农业农村部公告 第 250 号《食品动物中禁止使用的药品及其他化合物清单》要求，检验结论为不合格。 </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仿宋"/>
          <w:sz w:val="32"/>
          <w:szCs w:val="32"/>
          <w:u w:val="none"/>
          <w:lang w:eastAsia="zh-CN"/>
        </w:rPr>
        <w:t xml:space="preserve">2023年7月2日，当事人由海港区仟沃肉店购进该批次“羊后腿肉”8公斤，进货价格：66元/公斤；销售价格：70元/公斤。2023年7月4日，当事人由海港区海阳农副产品批发市场树财生肉批发部购进该批次“猪里脊肉”6.5公斤，进货价格：25元/公斤，销售价格：28元/公斤。截止到2023年7月31日被查，当事人所经营的上述食品已经全部经营使用，无库存；经计算，当事人违法经营上述食品的货值金额：742元，违法所得：51.5元。2023年7月31日，当事人对所经营的上述食品在经营场所进行了公告召回，由于上述食品经营时间过长等原因，当事人对所经营的上述食品未能召回。当事人提供了所经营上述食品的供货者海港区仟沃肉店、海港区海阳农副产品批发市场树财生肉批发部营业执照、供货凭证以及动物检疫合格证明、肉品品质检验合格证等相关的证明资料。当事人有充分证据证明其不知道所经营的上述食品含有非食用物质，并能如实说明其进货来源。在调查期间未对当事人采取行政强制措施。以上事实清楚，证据充分。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bCs/>
          <w:color w:val="000000"/>
          <w:sz w:val="32"/>
          <w:szCs w:val="32"/>
          <w:u w:val="none"/>
        </w:rPr>
        <w:t xml:space="preserve">                               </w:t>
      </w:r>
      <w:r>
        <w:rPr>
          <w:rFonts w:ascii="仿宋" w:hAnsi="仿宋" w:eastAsia="仿宋" w:cs="仿宋"/>
          <w:bCs/>
          <w:color w:val="000000"/>
          <w:sz w:val="32"/>
          <w:szCs w:val="32"/>
          <w:u w:val="none"/>
        </w:rPr>
        <w:t xml:space="preserve">  </w:t>
      </w:r>
    </w:p>
    <w:p>
      <w:pPr>
        <w:spacing w:line="520" w:lineRule="exact"/>
        <w:rPr>
          <w:rFonts w:ascii="仿宋" w:hAnsi="仿宋" w:eastAsia="仿宋" w:cs="宋体"/>
          <w:b/>
          <w:bCs/>
          <w:color w:val="000000"/>
          <w:sz w:val="32"/>
          <w:szCs w:val="32"/>
          <w:u w:val="none"/>
        </w:rPr>
      </w:pPr>
      <w:r>
        <w:rPr>
          <w:rFonts w:hint="eastAsia" w:ascii="仿宋" w:hAnsi="仿宋" w:eastAsia="仿宋" w:cs="宋体"/>
          <w:b/>
          <w:bCs/>
          <w:color w:val="000000"/>
          <w:sz w:val="32"/>
          <w:szCs w:val="32"/>
          <w:u w:val="none"/>
        </w:rPr>
        <w:t>上述事实，主要有以下证据证明：</w:t>
      </w:r>
    </w:p>
    <w:p>
      <w:pPr>
        <w:spacing w:line="520" w:lineRule="exact"/>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 xml:space="preserve">1.当事人授权委托人方艳伶签字盖章确认的当事人营业执照、食品经营许可证、经营者丛英花身份证复印件各一份；证明了当事人的基本信息以及经营者的身份信息等相关事项。                 </w:t>
      </w:r>
    </w:p>
    <w:p>
      <w:pPr>
        <w:spacing w:line="520" w:lineRule="exact"/>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 xml:space="preserve">2.当事人为授权委托人方艳伶出具的授权委托书一份；受托人方艳伶身份证复印件一份；证明了受托人自然人身份信息以及当事人委托的真实性以及委托权限等相关事项。                  </w:t>
      </w:r>
    </w:p>
    <w:p>
      <w:pPr>
        <w:spacing w:line="520" w:lineRule="exact"/>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 xml:space="preserve">3.对当事人经营场所检查笔录一份、现场检查照片打印件六份；对授权委托人方艳伶所做询问笔录一份；当事人食品召回公告、整改报告、申请免于处罚情况说明各一份；证明了当事人开展经营活动以及经营含有非食用物质的食品的违法事实等相关事项。                                                   </w:t>
      </w:r>
    </w:p>
    <w:p>
      <w:pPr>
        <w:spacing w:line="520" w:lineRule="exact"/>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 xml:space="preserve">4.对当事人下达的国家食品安全抽样检验告知书、食品安全抽样检验抽样单（非网络）、检验报告各一份；证明了对当事人所经营的食品进行食品安全监督抽检以及该批次“羊后腿肉”、“猪里脊肉”为含有非食用物质的食品的真实性等相关事项。                   </w:t>
      </w:r>
    </w:p>
    <w:p>
      <w:pPr>
        <w:spacing w:line="520" w:lineRule="exact"/>
        <w:rPr>
          <w:rFonts w:hint="eastAsia" w:ascii="仿宋" w:hAnsi="仿宋" w:eastAsia="仿宋" w:cs="仿宋"/>
          <w:sz w:val="32"/>
          <w:szCs w:val="32"/>
          <w:u w:val="none"/>
          <w:lang w:eastAsia="zh-CN"/>
        </w:rPr>
      </w:pPr>
      <w:r>
        <w:rPr>
          <w:rFonts w:hint="eastAsia" w:ascii="仿宋" w:hAnsi="仿宋" w:eastAsia="仿宋" w:cs="仿宋"/>
          <w:sz w:val="32"/>
          <w:szCs w:val="32"/>
          <w:u w:val="none"/>
          <w:lang w:eastAsia="zh-CN"/>
        </w:rPr>
        <w:t xml:space="preserve">5. 当事人提供的所经营的该批次“羊后腿肉”、“猪里脊肉”供货者的营业执照、供货凭证以及动物检疫合格证明、肉品品质检验合格证复印件各一份；证明了当事人所经营的上述食品的进货来源以及供货者的有关信息等相关事项。                          </w:t>
      </w:r>
    </w:p>
    <w:p>
      <w:pPr>
        <w:spacing w:line="520" w:lineRule="exact"/>
        <w:ind w:firstLine="640" w:firstLineChars="200"/>
        <w:rPr>
          <w:rFonts w:hint="eastAsia" w:ascii="仿宋" w:hAnsi="仿宋" w:eastAsia="仿宋" w:cs="宋体"/>
          <w:color w:val="000000"/>
          <w:sz w:val="32"/>
          <w:szCs w:val="32"/>
          <w:u w:val="none"/>
        </w:rPr>
      </w:pPr>
      <w:r>
        <w:rPr>
          <w:rFonts w:hint="eastAsia" w:ascii="仿宋" w:hAnsi="仿宋" w:eastAsia="仿宋" w:cs="仿宋"/>
          <w:sz w:val="32"/>
          <w:szCs w:val="32"/>
          <w:u w:val="none"/>
          <w:lang w:eastAsia="zh-CN"/>
        </w:rPr>
        <w:t>202</w:t>
      </w:r>
      <w:r>
        <w:rPr>
          <w:rFonts w:hint="eastAsia" w:ascii="仿宋" w:hAnsi="仿宋" w:eastAsia="仿宋" w:cs="仿宋"/>
          <w:sz w:val="32"/>
          <w:szCs w:val="32"/>
          <w:u w:val="none"/>
          <w:lang w:val="en-US" w:eastAsia="zh-CN"/>
        </w:rPr>
        <w:t>3</w:t>
      </w:r>
      <w:r>
        <w:rPr>
          <w:rFonts w:hint="eastAsia" w:ascii="仿宋" w:hAnsi="仿宋" w:eastAsia="仿宋" w:cs="仿宋"/>
          <w:sz w:val="32"/>
          <w:szCs w:val="32"/>
          <w:u w:val="none"/>
          <w:lang w:eastAsia="zh-CN"/>
        </w:rPr>
        <w:t>年</w:t>
      </w:r>
      <w:r>
        <w:rPr>
          <w:rFonts w:hint="eastAsia" w:ascii="仿宋" w:hAnsi="仿宋" w:eastAsia="仿宋" w:cs="仿宋"/>
          <w:sz w:val="32"/>
          <w:szCs w:val="32"/>
          <w:u w:val="none"/>
          <w:lang w:val="en-US" w:eastAsia="zh-CN"/>
        </w:rPr>
        <w:t>9</w:t>
      </w:r>
      <w:r>
        <w:rPr>
          <w:rFonts w:hint="eastAsia" w:ascii="仿宋" w:hAnsi="仿宋" w:eastAsia="仿宋" w:cs="仿宋"/>
          <w:sz w:val="32"/>
          <w:szCs w:val="32"/>
          <w:u w:val="none"/>
          <w:lang w:eastAsia="zh-CN"/>
        </w:rPr>
        <w:t>月</w:t>
      </w:r>
      <w:r>
        <w:rPr>
          <w:rFonts w:hint="eastAsia" w:ascii="仿宋" w:hAnsi="仿宋" w:eastAsia="仿宋" w:cs="仿宋"/>
          <w:sz w:val="32"/>
          <w:szCs w:val="32"/>
          <w:u w:val="none"/>
          <w:lang w:val="en-US" w:eastAsia="zh-CN"/>
        </w:rPr>
        <w:t>28</w:t>
      </w:r>
      <w:r>
        <w:rPr>
          <w:rFonts w:hint="eastAsia" w:ascii="仿宋" w:hAnsi="仿宋" w:eastAsia="仿宋" w:cs="仿宋"/>
          <w:sz w:val="32"/>
          <w:szCs w:val="32"/>
          <w:u w:val="none"/>
          <w:lang w:eastAsia="zh-CN"/>
        </w:rPr>
        <w:t>日，本局向当事人送达了《行政处罚告知书》（秦市监罚告[202</w:t>
      </w:r>
      <w:r>
        <w:rPr>
          <w:rFonts w:hint="eastAsia" w:ascii="仿宋" w:hAnsi="仿宋" w:eastAsia="仿宋" w:cs="仿宋"/>
          <w:sz w:val="32"/>
          <w:szCs w:val="32"/>
          <w:u w:val="none"/>
          <w:lang w:val="en-US" w:eastAsia="zh-CN"/>
        </w:rPr>
        <w:t>3</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1101</w:t>
      </w:r>
      <w:r>
        <w:rPr>
          <w:rFonts w:hint="eastAsia" w:ascii="仿宋" w:hAnsi="仿宋" w:eastAsia="仿宋" w:cs="仿宋"/>
          <w:sz w:val="32"/>
          <w:szCs w:val="32"/>
          <w:u w:val="none"/>
          <w:lang w:eastAsia="zh-CN"/>
        </w:rPr>
        <w:t>号），告知了本局拟作出不予行政处</w:t>
      </w:r>
      <w:r>
        <w:rPr>
          <w:rFonts w:hint="eastAsia" w:ascii="仿宋" w:hAnsi="仿宋" w:eastAsia="仿宋" w:cs="宋体"/>
          <w:bCs/>
          <w:color w:val="000000"/>
          <w:sz w:val="32"/>
          <w:szCs w:val="32"/>
        </w:rPr>
        <w:t>罚的内容及事实、理由、依据</w:t>
      </w:r>
      <w:r>
        <w:rPr>
          <w:rFonts w:hint="eastAsia" w:ascii="仿宋" w:hAnsi="仿宋" w:eastAsia="仿宋" w:cs="宋体"/>
          <w:bCs/>
          <w:color w:val="000000"/>
          <w:sz w:val="32"/>
          <w:szCs w:val="32"/>
          <w:lang w:eastAsia="zh-CN"/>
        </w:rPr>
        <w:t>，</w:t>
      </w:r>
      <w:r>
        <w:rPr>
          <w:rFonts w:hint="eastAsia" w:ascii="仿宋" w:hAnsi="仿宋" w:eastAsia="仿宋" w:cs="宋体"/>
          <w:color w:val="000000"/>
          <w:sz w:val="32"/>
          <w:szCs w:val="32"/>
          <w:u w:val="none"/>
        </w:rPr>
        <w:t>当事人自收到该告知书之日起</w:t>
      </w:r>
      <w:r>
        <w:rPr>
          <w:rFonts w:hint="eastAsia" w:ascii="仿宋" w:hAnsi="仿宋" w:eastAsia="仿宋" w:cs="宋体"/>
          <w:color w:val="000000"/>
          <w:sz w:val="32"/>
          <w:szCs w:val="32"/>
          <w:u w:val="none"/>
          <w:lang w:eastAsia="zh-CN"/>
        </w:rPr>
        <w:t>五</w:t>
      </w:r>
      <w:r>
        <w:rPr>
          <w:rFonts w:hint="eastAsia" w:ascii="仿宋" w:hAnsi="仿宋" w:eastAsia="仿宋" w:cs="宋体"/>
          <w:color w:val="000000"/>
          <w:sz w:val="32"/>
          <w:szCs w:val="32"/>
          <w:u w:val="none"/>
        </w:rPr>
        <w:t>个工作日内未行使陈述、申辩权。</w:t>
      </w:r>
    </w:p>
    <w:p>
      <w:pPr>
        <w:spacing w:line="520" w:lineRule="exact"/>
        <w:ind w:firstLine="640" w:firstLineChars="200"/>
        <w:rPr>
          <w:rFonts w:ascii="仿宋" w:hAnsi="仿宋" w:eastAsia="仿宋" w:cs="仿宋"/>
          <w:bCs/>
          <w:color w:val="000000"/>
          <w:sz w:val="32"/>
          <w:szCs w:val="32"/>
          <w:u w:val="none"/>
        </w:rPr>
      </w:pPr>
      <w:r>
        <w:rPr>
          <w:rFonts w:hint="eastAsia" w:ascii="仿宋" w:hAnsi="仿宋" w:eastAsia="仿宋" w:cs="宋体"/>
          <w:bCs/>
          <w:color w:val="000000"/>
          <w:sz w:val="32"/>
          <w:szCs w:val="32"/>
          <w:u w:val="none"/>
        </w:rPr>
        <w:t xml:space="preserve">当事人的上述行为违反了《中华人民共和国食品安全法》第三十四条第（一）项：“禁止生产经营下列食品、食品添加剂、食品相关产品：（一）用非食品原料生产的食品或者添加食品添加剂以外的化学物质和其他可能危害人体健康物质的食品，或者用回收食品作为原料生产的食品；”的规定，属于经营含有非食用物质的食品的违法行为。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jc w:val="left"/>
        <w:rPr>
          <w:rFonts w:hint="eastAsia"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当事人经营含有非食用物质的食品的行为违反了《中华人民共和国食品安全法》第三十四条第（一）项的规定，依据《中华人民共和国食品安全法》第一百二十三条第一款第（一）项的规定，应予以行政处罚。鉴于当事人在采购该批次“羊后腿肉”、“猪里脊肉”时查验了供货者的营业执照、供货凭证以及动物检疫合格证明、肉品品质检验合格证等相关证明文件，有充分证据证明其不知道所经营的</w:t>
      </w:r>
      <w:r>
        <w:rPr>
          <w:rFonts w:hint="eastAsia" w:ascii="仿宋" w:hAnsi="仿宋" w:eastAsia="仿宋" w:cs="楷体_GB2312"/>
          <w:bCs/>
          <w:color w:val="000000"/>
          <w:sz w:val="32"/>
          <w:szCs w:val="32"/>
          <w:u w:val="none"/>
          <w:lang w:eastAsia="zh-CN"/>
        </w:rPr>
        <w:t>上述</w:t>
      </w:r>
      <w:r>
        <w:rPr>
          <w:rFonts w:hint="eastAsia" w:ascii="仿宋" w:hAnsi="仿宋" w:eastAsia="仿宋" w:cs="楷体_GB2312"/>
          <w:bCs/>
          <w:color w:val="000000"/>
          <w:sz w:val="32"/>
          <w:szCs w:val="32"/>
          <w:u w:val="none"/>
        </w:rPr>
        <w:t xml:space="preserve">食品含有非食用物质，并能如实说明其进货来源，依据《中华人民共和国食品安全法》第一百三十六条的规定对当事人可以免予处罚。 </w:t>
      </w:r>
    </w:p>
    <w:p>
      <w:pPr>
        <w:spacing w:line="520" w:lineRule="exact"/>
        <w:ind w:firstLine="640"/>
        <w:jc w:val="left"/>
        <w:rPr>
          <w:rFonts w:ascii="仿宋" w:hAnsi="仿宋" w:eastAsia="仿宋" w:cs="楷体_GB2312"/>
          <w:bCs/>
          <w:color w:val="000000"/>
          <w:sz w:val="32"/>
          <w:szCs w:val="32"/>
          <w:u w:val="none"/>
        </w:rPr>
      </w:pPr>
      <w:r>
        <w:rPr>
          <w:rFonts w:hint="eastAsia" w:ascii="仿宋" w:hAnsi="仿宋" w:eastAsia="仿宋" w:cs="楷体_GB2312"/>
          <w:bCs/>
          <w:color w:val="000000"/>
          <w:sz w:val="32"/>
          <w:szCs w:val="32"/>
          <w:u w:val="none"/>
        </w:rPr>
        <w:t>结合案件实际情况，经综合考量对当事人免予处罚。</w:t>
      </w:r>
      <w:r>
        <w:rPr>
          <w:rFonts w:hint="eastAsia" w:ascii="仿宋" w:hAnsi="仿宋" w:eastAsia="仿宋" w:cs="??_GB2312"/>
          <w:sz w:val="32"/>
          <w:szCs w:val="32"/>
          <w:u w:val="none"/>
        </w:rPr>
        <w:t xml:space="preserve">         </w:t>
      </w:r>
      <w:r>
        <w:rPr>
          <w:rFonts w:ascii="仿宋" w:hAnsi="仿宋" w:eastAsia="仿宋" w:cs="楷体_GB2312"/>
          <w:bCs/>
          <w:color w:val="000000"/>
          <w:sz w:val="32"/>
          <w:szCs w:val="32"/>
          <w:u w:val="none"/>
        </w:rPr>
        <w:t xml:space="preserve">   </w:t>
      </w:r>
      <w:r>
        <w:rPr>
          <w:rFonts w:hint="eastAsia" w:ascii="仿宋" w:hAnsi="仿宋" w:eastAsia="仿宋" w:cs="楷体_GB2312"/>
          <w:bCs/>
          <w:color w:val="000000"/>
          <w:sz w:val="32"/>
          <w:szCs w:val="32"/>
          <w:u w:val="none"/>
          <w:lang w:val="en-US" w:eastAsia="zh-CN"/>
        </w:rPr>
        <w:t xml:space="preserve">     </w:t>
      </w:r>
      <w:r>
        <w:rPr>
          <w:rFonts w:ascii="仿宋" w:hAnsi="仿宋" w:eastAsia="仿宋" w:cs="楷体_GB2312"/>
          <w:bCs/>
          <w:color w:val="000000"/>
          <w:sz w:val="32"/>
          <w:szCs w:val="32"/>
          <w:u w:val="none"/>
        </w:rPr>
        <w:t xml:space="preserve">                         </w:t>
      </w:r>
    </w:p>
    <w:p>
      <w:pPr>
        <w:spacing w:line="520" w:lineRule="exact"/>
        <w:ind w:firstLine="640" w:firstLineChars="200"/>
        <w:rPr>
          <w:rFonts w:ascii="仿宋" w:hAnsi="仿宋" w:eastAsia="仿宋" w:cs="楷体_GB2312"/>
          <w:bCs/>
          <w:color w:val="000000"/>
          <w:sz w:val="32"/>
          <w:szCs w:val="32"/>
          <w:u w:val="none"/>
        </w:rPr>
      </w:pPr>
      <w:r>
        <w:rPr>
          <w:rFonts w:hint="eastAsia" w:ascii="仿宋" w:hAnsi="仿宋" w:eastAsia="仿宋" w:cs="楷体_GB2312"/>
          <w:color w:val="000000"/>
          <w:sz w:val="32"/>
          <w:szCs w:val="32"/>
          <w:u w:val="none"/>
        </w:rPr>
        <w:t>对当事人经营含有非食用物质的食品的违法行为，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责令当事人改正上述违法行为，并</w:t>
      </w:r>
      <w:r>
        <w:rPr>
          <w:rFonts w:hint="eastAsia" w:ascii="仿宋" w:hAnsi="仿宋" w:eastAsia="仿宋" w:cs="楷体_GB2312"/>
          <w:color w:val="000000"/>
          <w:sz w:val="32"/>
          <w:szCs w:val="32"/>
          <w:u w:val="none"/>
          <w:lang w:eastAsia="zh-CN"/>
        </w:rPr>
        <w:t>决定</w:t>
      </w:r>
      <w:r>
        <w:rPr>
          <w:rFonts w:hint="eastAsia" w:ascii="仿宋" w:hAnsi="仿宋" w:eastAsia="仿宋" w:cs="楷体_GB2312"/>
          <w:color w:val="000000"/>
          <w:sz w:val="32"/>
          <w:szCs w:val="32"/>
          <w:u w:val="none"/>
        </w:rPr>
        <w:t xml:space="preserve">对当事人免予处罚。                             </w:t>
      </w:r>
      <w:r>
        <w:rPr>
          <w:rFonts w:ascii="仿宋" w:hAnsi="仿宋" w:eastAsia="仿宋" w:cs="楷体_GB2312"/>
          <w:color w:val="000000"/>
          <w:sz w:val="32"/>
          <w:szCs w:val="32"/>
          <w:u w:val="none"/>
        </w:rPr>
        <w:t xml:space="preserve">                   </w:t>
      </w:r>
      <w:r>
        <w:rPr>
          <w:rFonts w:hint="eastAsia" w:ascii="仿宋" w:hAnsi="仿宋" w:eastAsia="仿宋" w:cs="楷体_GB2312"/>
          <w:color w:val="000000"/>
          <w:sz w:val="32"/>
          <w:szCs w:val="32"/>
          <w:u w:val="none"/>
        </w:rPr>
        <w:t xml:space="preserve">    </w:t>
      </w:r>
      <w:r>
        <w:rPr>
          <w:rFonts w:ascii="仿宋" w:hAnsi="仿宋" w:eastAsia="仿宋" w:cs="楷体_GB2312"/>
          <w:color w:val="000000"/>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sz w:val="32"/>
          <w:szCs w:val="32"/>
          <w:u w:val="none"/>
        </w:rPr>
      </w:pPr>
      <w:r>
        <w:rPr>
          <w:rFonts w:hint="eastAsia" w:ascii="仿宋" w:hAnsi="仿宋" w:eastAsia="仿宋" w:cs="宋体"/>
          <w:sz w:val="32"/>
          <w:szCs w:val="32"/>
          <w:u w:val="none"/>
        </w:rPr>
        <w:t>如你（单位）不服本行政处罚决定，可以在收到本行政处罚决定书之日起六十日内向秦皇岛市</w:t>
      </w:r>
      <w:r>
        <w:rPr>
          <w:rFonts w:hint="eastAsia" w:ascii="仿宋" w:hAnsi="仿宋" w:eastAsia="仿宋" w:cs="宋体"/>
          <w:sz w:val="32"/>
          <w:szCs w:val="32"/>
          <w:u w:val="none"/>
          <w:lang w:eastAsia="zh-CN"/>
        </w:rPr>
        <w:t>人民政府</w:t>
      </w:r>
      <w:r>
        <w:rPr>
          <w:rFonts w:hint="eastAsia" w:ascii="仿宋" w:hAnsi="仿宋" w:eastAsia="仿宋" w:cs="宋体"/>
          <w:sz w:val="32"/>
          <w:szCs w:val="32"/>
          <w:u w:val="none"/>
        </w:rPr>
        <w:t xml:space="preserve">申请行政复议；也可以在六个月内依法向秦皇岛市海港区人民法院提起行政诉讼。申请行政复议或者提起行政诉讼期间，行政处罚不停止执行。  </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依据《中华人民共和国行政处罚法》第三十三条第三款的规定，对当事人进行教育，具体内容如下：</w:t>
      </w:r>
    </w:p>
    <w:p>
      <w:pPr>
        <w:autoSpaceDE w:val="0"/>
        <w:autoSpaceDN w:val="0"/>
        <w:adjustRightInd w:val="0"/>
        <w:spacing w:after="20"/>
        <w:ind w:firstLine="640" w:firstLineChars="200"/>
        <w:jc w:val="left"/>
        <w:rPr>
          <w:rFonts w:hint="eastAsia" w:ascii="仿宋" w:hAnsi="仿宋" w:eastAsia="仿宋" w:cs="宋体"/>
          <w:sz w:val="32"/>
          <w:szCs w:val="32"/>
          <w:u w:val="none"/>
          <w:lang w:val="en-US" w:eastAsia="zh-CN"/>
        </w:rPr>
      </w:pPr>
      <w:r>
        <w:rPr>
          <w:rFonts w:hint="eastAsia" w:ascii="仿宋" w:hAnsi="仿宋" w:eastAsia="仿宋" w:cs="宋体"/>
          <w:sz w:val="32"/>
          <w:szCs w:val="32"/>
          <w:u w:val="none"/>
          <w:lang w:val="en-US" w:eastAsia="zh-CN"/>
        </w:rPr>
        <w:t>1、要求当事人开展经营活动中严格执行《中华人民共和国食品安全法》的相关规定，履行进货查验义务，并保存相关凭证；销售符合食品安全标准和国家相关规定的食品，保证食品质量与食品安全。</w:t>
      </w:r>
    </w:p>
    <w:p>
      <w:pPr>
        <w:autoSpaceDE w:val="0"/>
        <w:autoSpaceDN w:val="0"/>
        <w:adjustRightInd w:val="0"/>
        <w:spacing w:after="20"/>
        <w:ind w:firstLine="640" w:firstLineChars="200"/>
        <w:jc w:val="left"/>
        <w:rPr>
          <w:rFonts w:ascii="仿宋" w:hAnsi="仿宋" w:eastAsia="仿宋" w:cs="宋体"/>
          <w:sz w:val="32"/>
          <w:szCs w:val="32"/>
          <w:u w:val="none"/>
        </w:rPr>
      </w:pPr>
      <w:r>
        <w:rPr>
          <w:rFonts w:hint="eastAsia" w:ascii="仿宋" w:hAnsi="仿宋" w:eastAsia="仿宋" w:cs="宋体"/>
          <w:sz w:val="32"/>
          <w:szCs w:val="32"/>
          <w:u w:val="none"/>
          <w:lang w:val="en-US" w:eastAsia="zh-CN"/>
        </w:rPr>
        <w:t xml:space="preserve">2、要求当事人及时开展对食品批发市场供货者的考察比较工作，要求当事人选择食品集中交易市场内的经营户或者依法取得食品生产许可证照的食品生产、加工企业作为合作对象，确保进货渠道正规、合法，采购的食品安全、有保证。                 </w:t>
      </w:r>
      <w:r>
        <w:rPr>
          <w:rFonts w:hint="eastAsia" w:ascii="仿宋" w:hAnsi="仿宋" w:eastAsia="仿宋" w:cs="宋体"/>
          <w:sz w:val="32"/>
          <w:szCs w:val="32"/>
          <w:u w:val="none"/>
        </w:rPr>
        <w:t xml:space="preserve">         </w:t>
      </w:r>
    </w:p>
    <w:p>
      <w:pPr>
        <w:autoSpaceDE w:val="0"/>
        <w:autoSpaceDN w:val="0"/>
        <w:adjustRightInd w:val="0"/>
        <w:spacing w:after="20"/>
        <w:ind w:firstLine="640" w:firstLineChars="200"/>
        <w:jc w:val="left"/>
        <w:rPr>
          <w:rFonts w:hint="eastAsia" w:ascii="仿宋" w:hAnsi="仿宋" w:eastAsia="仿宋" w:cs="宋体"/>
          <w:color w:val="000000"/>
          <w:sz w:val="32"/>
          <w:szCs w:val="32"/>
          <w:lang w:val="en-US" w:eastAsia="zh-CN"/>
        </w:rPr>
      </w:pPr>
      <w:r>
        <w:rPr>
          <w:rFonts w:hint="eastAsia" w:ascii="仿宋" w:hAnsi="仿宋" w:eastAsia="仿宋" w:cs="宋体"/>
          <w:sz w:val="32"/>
          <w:szCs w:val="32"/>
          <w:u w:val="none"/>
        </w:rPr>
        <w:t xml:space="preserve">本局将依法向社会公示本行政处罚决定信息。   </w:t>
      </w:r>
      <w:r>
        <w:rPr>
          <w:rFonts w:hint="eastAsia" w:ascii="仿宋" w:hAnsi="仿宋" w:eastAsia="仿宋" w:cs="宋体"/>
          <w:sz w:val="32"/>
          <w:szCs w:val="32"/>
          <w:u w:val="none"/>
          <w:lang w:val="en-US" w:eastAsia="zh-CN"/>
        </w:rPr>
        <w:t xml:space="preserve">         </w:t>
      </w:r>
      <w:r>
        <w:rPr>
          <w:rFonts w:hint="eastAsia" w:ascii="仿宋" w:hAnsi="仿宋" w:eastAsia="仿宋" w:cs="宋体"/>
          <w:sz w:val="32"/>
          <w:szCs w:val="32"/>
          <w:u w:val="none"/>
        </w:rPr>
        <w:t xml:space="preserve"> </w:t>
      </w: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sz w:val="32"/>
          <w:szCs w:val="32"/>
        </w:rPr>
        <w:t xml:space="preserve">秦皇岛市市场监督管理局                     </w:t>
      </w:r>
    </w:p>
    <w:p>
      <w:pPr>
        <w:spacing w:line="460" w:lineRule="exact"/>
        <w:ind w:right="640" w:firstLine="601"/>
        <w:jc w:val="center"/>
        <w:rPr>
          <w:rFonts w:hint="eastAsia" w:ascii="仿宋" w:hAnsi="仿宋" w:eastAsia="仿宋" w:cs="黑体"/>
          <w:b/>
          <w:bCs/>
          <w:color w:val="000000"/>
          <w:sz w:val="32"/>
          <w:szCs w:val="32"/>
        </w:rPr>
      </w:pPr>
      <w:r>
        <w:rPr>
          <w:rFonts w:hint="eastAsia" w:ascii="仿宋" w:hAnsi="仿宋" w:eastAsia="仿宋" w:cs="宋体"/>
          <w:color w:val="000000"/>
          <w:sz w:val="32"/>
          <w:szCs w:val="32"/>
        </w:rPr>
        <w:t xml:space="preserve">                    </w:t>
      </w:r>
      <w:r>
        <w:rPr>
          <w:rFonts w:hint="eastAsia" w:ascii="仿宋" w:hAnsi="仿宋" w:eastAsia="仿宋" w:cs="宋体"/>
          <w:color w:val="000000"/>
          <w:sz w:val="32"/>
          <w:szCs w:val="32"/>
          <w:lang w:val="en-US" w:eastAsia="zh-CN"/>
        </w:rPr>
        <w:t xml:space="preserve">    </w:t>
      </w:r>
      <w:r>
        <w:rPr>
          <w:rFonts w:hint="eastAsia" w:ascii="仿宋" w:hAnsi="仿宋" w:eastAsia="仿宋" w:cs="宋体"/>
          <w:color w:val="000000" w:themeColor="text1"/>
          <w:sz w:val="32"/>
          <w:szCs w:val="32"/>
          <w:lang w:val="en-US" w:eastAsia="zh-CN"/>
        </w:rPr>
        <w:t xml:space="preserve"> 2023</w:t>
      </w:r>
      <w:r>
        <w:rPr>
          <w:rFonts w:hint="eastAsia" w:ascii="仿宋" w:hAnsi="仿宋" w:eastAsia="仿宋" w:cs="宋体"/>
          <w:color w:val="000000" w:themeColor="text1"/>
          <w:sz w:val="32"/>
          <w:szCs w:val="32"/>
        </w:rPr>
        <w:t>年</w:t>
      </w:r>
      <w:r>
        <w:rPr>
          <w:rFonts w:hint="eastAsia" w:ascii="仿宋" w:hAnsi="仿宋" w:eastAsia="仿宋" w:cs="宋体"/>
          <w:color w:val="000000" w:themeColor="text1"/>
          <w:sz w:val="32"/>
          <w:szCs w:val="32"/>
          <w:lang w:val="en-US" w:eastAsia="zh-CN"/>
        </w:rPr>
        <w:t>10</w:t>
      </w:r>
      <w:r>
        <w:rPr>
          <w:rFonts w:hint="eastAsia" w:ascii="仿宋" w:hAnsi="仿宋" w:eastAsia="仿宋" w:cs="宋体"/>
          <w:color w:val="000000" w:themeColor="text1"/>
          <w:sz w:val="32"/>
          <w:szCs w:val="32"/>
        </w:rPr>
        <w:t>月</w:t>
      </w:r>
      <w:r>
        <w:rPr>
          <w:rFonts w:hint="eastAsia" w:ascii="仿宋" w:hAnsi="仿宋" w:eastAsia="仿宋" w:cs="宋体"/>
          <w:color w:val="000000" w:themeColor="text1"/>
          <w:sz w:val="32"/>
          <w:szCs w:val="32"/>
          <w:lang w:val="en-US" w:eastAsia="zh-CN"/>
        </w:rPr>
        <w:t>17</w:t>
      </w:r>
      <w:r>
        <w:rPr>
          <w:rFonts w:hint="eastAsia" w:ascii="仿宋" w:hAnsi="仿宋" w:eastAsia="仿宋" w:cs="宋体"/>
          <w:color w:val="000000" w:themeColor="text1"/>
          <w:sz w:val="32"/>
          <w:szCs w:val="32"/>
          <w:lang w:eastAsia="zh-CN"/>
        </w:rPr>
        <w:t>日</w:t>
      </w: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wordWrap w:val="0"/>
        <w:spacing w:line="520" w:lineRule="exact"/>
        <w:rPr>
          <w:rFonts w:hint="eastAsia" w:ascii="仿宋" w:hAnsi="仿宋" w:eastAsia="仿宋" w:cs="宋体"/>
          <w:color w:val="000000"/>
          <w:sz w:val="32"/>
          <w:szCs w:val="32"/>
          <w:u w:val="single"/>
        </w:rPr>
      </w:pPr>
      <w:r>
        <w:rPr>
          <w:rFonts w:ascii="仿宋" w:hAnsi="仿宋" w:eastAsia="仿宋" w:cs="宋体"/>
          <w:sz w:val="32"/>
          <w:szCs w:val="32"/>
          <w:u w:val="single"/>
        </w:rPr>
        <mc:AlternateContent>
          <mc:Choice Requires="wps">
            <w:drawing>
              <wp:anchor distT="0" distB="0" distL="114300" distR="114300" simplePos="0" relativeHeight="251661312" behindDoc="0" locked="0" layoutInCell="1" allowOverlap="1">
                <wp:simplePos x="0" y="0"/>
                <wp:positionH relativeFrom="column">
                  <wp:posOffset>153035</wp:posOffset>
                </wp:positionH>
                <wp:positionV relativeFrom="paragraph">
                  <wp:posOffset>149860</wp:posOffset>
                </wp:positionV>
                <wp:extent cx="5550535"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50535" cy="635"/>
                        </a:xfrm>
                        <a:prstGeom prst="line">
                          <a:avLst/>
                        </a:prstGeom>
                        <a:noFill/>
                        <a:ln w="15875">
                          <a:solidFill>
                            <a:srgbClr val="000000"/>
                          </a:solidFill>
                          <a:round/>
                        </a:ln>
                        <a:effectLst/>
                      </wps:spPr>
                      <wps:bodyPr/>
                    </wps:wsp>
                  </a:graphicData>
                </a:graphic>
              </wp:anchor>
            </w:drawing>
          </mc:Choice>
          <mc:Fallback>
            <w:pict>
              <v:line id="_x0000_s1026" o:spid="_x0000_s1026" o:spt="20" style="position:absolute;left:0pt;margin-left:12.05pt;margin-top:11.8pt;height:0.05pt;width:437.05pt;z-index:251661312;mso-width-relative:page;mso-height-relative:page;" filled="f" stroked="t" coordsize="21600,21600" o:gfxdata="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uGHU3YAAAACAEAAA8AAAAAAAAAAQAgAAAAIgAA&#10;AGRycy9kb3ducmV2LnhtbFBLAQIUABQAAAAIAIdO4kD+xH7DzwEAAG0DAAAOAAAAAAAAAAEAIAAA&#10;ACcBAABkcnMvZTJvRG9jLnhtbFBLBQYAAAAABgAGAFkBAABoBQAAAAA=&#10;">
                <v:fill on="f" focussize="0,0"/>
                <v:stroke weight="1.25pt" color="#000000" joinstyle="round"/>
                <v:imagedata o:title=""/>
                <o:lock v:ext="edit" aspectratio="f"/>
              </v:line>
            </w:pict>
          </mc:Fallback>
        </mc:AlternateContent>
      </w:r>
    </w:p>
    <w:p>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62625" cy="1270"/>
                        </a:xfrm>
                        <a:prstGeom prst="line">
                          <a:avLst/>
                        </a:prstGeom>
                        <a:noFill/>
                        <a:ln w="9360" cap="sq">
                          <a:solidFill>
                            <a:srgbClr val="000000"/>
                          </a:solidFill>
                          <a:round/>
                        </a:ln>
                        <a:effectLst/>
                      </wps:spPr>
                      <wps:bodyPr/>
                    </wps:wsp>
                  </a:graphicData>
                </a:graphic>
              </wp:anchor>
            </w:drawing>
          </mc:Choice>
          <mc:Fallback>
            <w:pict>
              <v:line id="_x0000_s1026" o:spid="_x0000_s1026" o:spt="20" style="position:absolute;left:0pt;margin-left:0pt;margin-top:1638.35pt;height:0.1pt;width:453.75pt;z-index:251662336;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zkdcAAAAKAQAADwAAAAAAAAAB&#10;ACAAAAAiAAAAZHJzL2Rvd25yZXYueG1sUEsBAhQAFAAAAAgAh07iQOkHukLYAQAAdgMAAA4AAAAA&#10;AAAAAQAgAAAAJgEAAGRycy9lMm9Eb2MueG1sUEsFBgAAAAAGAAYAWQEAAHAFAAAAAA==&#10;">
                <v:fill on="f" focussize="0,0"/>
                <v:stroke weight="0.737007874015748pt" color="#000000" joinstyle="round" endcap="square"/>
                <v:imagedata o:title=""/>
                <o:lock v:ext="edit" aspectratio="f"/>
              </v:line>
            </w:pict>
          </mc:Fallback>
        </mc:AlternateConten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宋体"/>
          <w:color w:val="000000"/>
          <w:sz w:val="32"/>
          <w:szCs w:val="32"/>
          <w:u w:val="single"/>
          <w:lang w:val="en-US" w:eastAsia="zh-CN"/>
        </w:rPr>
        <w:t xml:space="preserve">     </w:t>
      </w:r>
      <w:r>
        <w:rPr>
          <w:rFonts w:hint="eastAsia" w:ascii="仿宋" w:hAnsi="仿宋" w:eastAsia="仿宋" w:cs="宋体"/>
          <w:color w:val="000000"/>
          <w:sz w:val="32"/>
          <w:szCs w:val="32"/>
          <w:u w:val="single"/>
        </w:rPr>
        <w:t xml:space="preserve"> </w:t>
      </w:r>
      <w:r>
        <w:rPr>
          <w:rFonts w:hint="eastAsia" w:ascii="仿宋" w:hAnsi="仿宋" w:eastAsia="仿宋" w:cstheme="minorEastAsia"/>
          <w:color w:val="000000"/>
          <w:sz w:val="32"/>
          <w:szCs w:val="32"/>
        </w:rPr>
        <w:t>。</w:t>
      </w:r>
    </w:p>
    <w:sectPr>
      <w:footerReference r:id="rId3" w:type="default"/>
      <w:pgSz w:w="11906" w:h="16838"/>
      <w:pgMar w:top="1417"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MuQeq4BAABLAwAADgAAAGRycy9lMm9Eb2MueG1srVPNahsxEL4X8g5C&#10;91hrE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Ey5B6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ZTUzMDIyYWIwYjRmNTQ1YTQ5ZjMxNDE4NjU5YWUifQ=="/>
  </w:docVars>
  <w:rsids>
    <w:rsidRoot w:val="00261B45"/>
    <w:rsid w:val="00020638"/>
    <w:rsid w:val="0003337C"/>
    <w:rsid w:val="00081C4C"/>
    <w:rsid w:val="0017746D"/>
    <w:rsid w:val="001D64C4"/>
    <w:rsid w:val="00261B45"/>
    <w:rsid w:val="002B07B9"/>
    <w:rsid w:val="003861B2"/>
    <w:rsid w:val="003D14F3"/>
    <w:rsid w:val="003E59AF"/>
    <w:rsid w:val="004F2F16"/>
    <w:rsid w:val="00545F90"/>
    <w:rsid w:val="005812F4"/>
    <w:rsid w:val="005A1325"/>
    <w:rsid w:val="00601471"/>
    <w:rsid w:val="00612EA9"/>
    <w:rsid w:val="007F7427"/>
    <w:rsid w:val="008337AA"/>
    <w:rsid w:val="00925A9B"/>
    <w:rsid w:val="00934C3A"/>
    <w:rsid w:val="00940A04"/>
    <w:rsid w:val="0097082C"/>
    <w:rsid w:val="009F19C5"/>
    <w:rsid w:val="009F212A"/>
    <w:rsid w:val="00A06519"/>
    <w:rsid w:val="00A178AB"/>
    <w:rsid w:val="00B44BED"/>
    <w:rsid w:val="00BD5B48"/>
    <w:rsid w:val="00C14840"/>
    <w:rsid w:val="00C573C9"/>
    <w:rsid w:val="00C80EBC"/>
    <w:rsid w:val="00CE36D2"/>
    <w:rsid w:val="00CE6A5B"/>
    <w:rsid w:val="00DB5217"/>
    <w:rsid w:val="00E12E17"/>
    <w:rsid w:val="00E246BC"/>
    <w:rsid w:val="00E40DEB"/>
    <w:rsid w:val="00EF02BE"/>
    <w:rsid w:val="00FB229E"/>
    <w:rsid w:val="00FD2D0B"/>
    <w:rsid w:val="00FF2AD2"/>
    <w:rsid w:val="02016291"/>
    <w:rsid w:val="0548762F"/>
    <w:rsid w:val="05E51322"/>
    <w:rsid w:val="07582258"/>
    <w:rsid w:val="082814C3"/>
    <w:rsid w:val="097E5D15"/>
    <w:rsid w:val="0AAA48E8"/>
    <w:rsid w:val="0ADD6A6C"/>
    <w:rsid w:val="0B084B61"/>
    <w:rsid w:val="0CF85DDF"/>
    <w:rsid w:val="0D3606B5"/>
    <w:rsid w:val="0D4B051E"/>
    <w:rsid w:val="0D8F0E62"/>
    <w:rsid w:val="0E9E667F"/>
    <w:rsid w:val="0EFE2AE5"/>
    <w:rsid w:val="10A06571"/>
    <w:rsid w:val="10DC33CA"/>
    <w:rsid w:val="111F1D1D"/>
    <w:rsid w:val="115D0906"/>
    <w:rsid w:val="1326357C"/>
    <w:rsid w:val="145965B8"/>
    <w:rsid w:val="176C7D82"/>
    <w:rsid w:val="17ED5450"/>
    <w:rsid w:val="18F14FE3"/>
    <w:rsid w:val="18F54550"/>
    <w:rsid w:val="1B011DB6"/>
    <w:rsid w:val="1B613D03"/>
    <w:rsid w:val="1C735D4E"/>
    <w:rsid w:val="1F251A8E"/>
    <w:rsid w:val="1F342DB1"/>
    <w:rsid w:val="1F4F5879"/>
    <w:rsid w:val="1FCD30FB"/>
    <w:rsid w:val="22885BF9"/>
    <w:rsid w:val="233139A1"/>
    <w:rsid w:val="23627A12"/>
    <w:rsid w:val="28D252DE"/>
    <w:rsid w:val="28D702AF"/>
    <w:rsid w:val="29310FC7"/>
    <w:rsid w:val="2A9E5BAD"/>
    <w:rsid w:val="2B5F1D03"/>
    <w:rsid w:val="2B646D1A"/>
    <w:rsid w:val="2CE02D8A"/>
    <w:rsid w:val="2DF765A5"/>
    <w:rsid w:val="2E6D3792"/>
    <w:rsid w:val="2EDD57E5"/>
    <w:rsid w:val="2F260132"/>
    <w:rsid w:val="30C419B0"/>
    <w:rsid w:val="30C85944"/>
    <w:rsid w:val="31391305"/>
    <w:rsid w:val="36517812"/>
    <w:rsid w:val="372907BF"/>
    <w:rsid w:val="3739489D"/>
    <w:rsid w:val="38A72FFF"/>
    <w:rsid w:val="38CF1AE5"/>
    <w:rsid w:val="39002A92"/>
    <w:rsid w:val="399F2E5C"/>
    <w:rsid w:val="3D4E01F0"/>
    <w:rsid w:val="3DD376D7"/>
    <w:rsid w:val="3E9F6A9D"/>
    <w:rsid w:val="3ED2798E"/>
    <w:rsid w:val="3ED43706"/>
    <w:rsid w:val="3FF27CAC"/>
    <w:rsid w:val="40890521"/>
    <w:rsid w:val="40A206CD"/>
    <w:rsid w:val="41B234F8"/>
    <w:rsid w:val="43592C00"/>
    <w:rsid w:val="44612D2C"/>
    <w:rsid w:val="449000D0"/>
    <w:rsid w:val="45102FBE"/>
    <w:rsid w:val="45BC42A2"/>
    <w:rsid w:val="4711663E"/>
    <w:rsid w:val="47DB5022"/>
    <w:rsid w:val="48F32FE7"/>
    <w:rsid w:val="49C26624"/>
    <w:rsid w:val="4C0A2769"/>
    <w:rsid w:val="4C6D0CF6"/>
    <w:rsid w:val="4CB50C3F"/>
    <w:rsid w:val="4D0E4C96"/>
    <w:rsid w:val="4EB9395C"/>
    <w:rsid w:val="51271DBC"/>
    <w:rsid w:val="517555E9"/>
    <w:rsid w:val="524D7FE6"/>
    <w:rsid w:val="52CD7C74"/>
    <w:rsid w:val="52E22C40"/>
    <w:rsid w:val="54C811C0"/>
    <w:rsid w:val="54C945E8"/>
    <w:rsid w:val="558A777C"/>
    <w:rsid w:val="55967510"/>
    <w:rsid w:val="55D2722F"/>
    <w:rsid w:val="57EF4FEC"/>
    <w:rsid w:val="596A6259"/>
    <w:rsid w:val="5A6F262D"/>
    <w:rsid w:val="5A9C0C23"/>
    <w:rsid w:val="5C4D4319"/>
    <w:rsid w:val="5C5869BC"/>
    <w:rsid w:val="5DC80482"/>
    <w:rsid w:val="5DD34530"/>
    <w:rsid w:val="5F9C5F6A"/>
    <w:rsid w:val="5FE132A9"/>
    <w:rsid w:val="610052A8"/>
    <w:rsid w:val="62C84A71"/>
    <w:rsid w:val="63345069"/>
    <w:rsid w:val="63384043"/>
    <w:rsid w:val="64067E2C"/>
    <w:rsid w:val="64B81251"/>
    <w:rsid w:val="652E4ACF"/>
    <w:rsid w:val="65493C57"/>
    <w:rsid w:val="66F65DC0"/>
    <w:rsid w:val="675853C5"/>
    <w:rsid w:val="68375B27"/>
    <w:rsid w:val="68B00721"/>
    <w:rsid w:val="6905651F"/>
    <w:rsid w:val="6AA054DB"/>
    <w:rsid w:val="6AC1688E"/>
    <w:rsid w:val="6BF55FC2"/>
    <w:rsid w:val="6D4B31B8"/>
    <w:rsid w:val="6E783501"/>
    <w:rsid w:val="6FCF30CF"/>
    <w:rsid w:val="6FE169C0"/>
    <w:rsid w:val="709D2F56"/>
    <w:rsid w:val="715D2B8F"/>
    <w:rsid w:val="71971C3B"/>
    <w:rsid w:val="71B4761C"/>
    <w:rsid w:val="72372DDF"/>
    <w:rsid w:val="72F14C6F"/>
    <w:rsid w:val="73011F50"/>
    <w:rsid w:val="74A133F0"/>
    <w:rsid w:val="74EA5B80"/>
    <w:rsid w:val="76C001DA"/>
    <w:rsid w:val="77FC2192"/>
    <w:rsid w:val="79D7762B"/>
    <w:rsid w:val="7D9A6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8D0A8F-B2A8-462C-BA98-7316A4700A6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2899</Words>
  <Characters>3095</Characters>
  <Lines>26</Lines>
  <Paragraphs>7</Paragraphs>
  <TotalTime>23</TotalTime>
  <ScaleCrop>false</ScaleCrop>
  <LinksUpToDate>false</LinksUpToDate>
  <CharactersWithSpaces>3797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李欣阳</cp:lastModifiedBy>
  <cp:lastPrinted>2023-10-20T09:28:00Z</cp:lastPrinted>
  <dcterms:modified xsi:type="dcterms:W3CDTF">2023-10-23T03:15:51Z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331E67A037634590AA3C1F91CCBBB972</vt:lpwstr>
  </property>
</Properties>
</file>