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lang w:eastAsia="zh-CN"/>
        </w:rPr>
        <w:t>不予</w:t>
      </w: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宋体"/>
          <w:color w:val="000000"/>
          <w:sz w:val="32"/>
          <w:szCs w:val="32"/>
          <w:u w:val="none"/>
          <w:lang w:eastAsia="zh-CN"/>
        </w:rPr>
        <w:t>不罚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3</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1117</w:t>
      </w:r>
      <w:r>
        <w:rPr>
          <w:rFonts w:hint="eastAsia" w:ascii="仿宋" w:hAnsi="仿宋" w:eastAsia="仿宋" w:cs="宋体"/>
          <w:color w:val="auto"/>
          <w:sz w:val="32"/>
          <w:szCs w:val="32"/>
          <w:u w:val="none"/>
        </w:rPr>
        <w:t>号</w:t>
      </w:r>
    </w:p>
    <w:p>
      <w:pPr>
        <w:spacing w:line="520" w:lineRule="exact"/>
        <w:rPr>
          <w:rFonts w:ascii="仿宋" w:hAnsi="仿宋" w:eastAsia="仿宋" w:cs="??_GB2312"/>
          <w:sz w:val="32"/>
          <w:szCs w:val="32"/>
        </w:rPr>
      </w:pPr>
      <w:r>
        <w:rPr>
          <w:rFonts w:hint="eastAsia" w:ascii="仿宋" w:hAnsi="仿宋" w:eastAsia="仿宋" w:cs="??_GB2312"/>
          <w:sz w:val="32"/>
          <w:szCs w:val="32"/>
        </w:rPr>
        <w:t>当事人：</w:t>
      </w:r>
      <w:r>
        <w:rPr>
          <w:rFonts w:hint="eastAsia" w:ascii="仿宋" w:hAnsi="仿宋" w:eastAsia="仿宋" w:cs="??_GB2312"/>
          <w:sz w:val="32"/>
          <w:szCs w:val="32"/>
          <w:lang w:val="en-US" w:eastAsia="zh-CN"/>
        </w:rPr>
        <w:t>秦皇岛经济技术开发区林霞超市</w:t>
      </w:r>
      <w:r>
        <w:rPr>
          <w:rFonts w:hint="eastAsia" w:ascii="仿宋" w:hAnsi="仿宋" w:eastAsia="仿宋" w:cs="??_GB2312"/>
          <w:sz w:val="32"/>
          <w:szCs w:val="32"/>
        </w:rPr>
        <w:t>；</w:t>
      </w:r>
    </w:p>
    <w:p>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_GB2312"/>
          <w:sz w:val="32"/>
          <w:szCs w:val="32"/>
        </w:rPr>
        <w:t>营业执照；</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_GB2312"/>
          <w:sz w:val="32"/>
          <w:szCs w:val="32"/>
        </w:rPr>
        <w:t>统一社会信用</w:t>
      </w:r>
      <w:r>
        <w:rPr>
          <w:rFonts w:hint="eastAsia" w:ascii="仿宋" w:hAnsi="仿宋" w:eastAsia="仿宋" w:cs="宋体"/>
          <w:kern w:val="1"/>
          <w:sz w:val="32"/>
          <w:szCs w:val="32"/>
        </w:rPr>
        <w:t>代码：</w:t>
      </w:r>
      <w:r>
        <w:rPr>
          <w:rFonts w:hint="eastAsia" w:ascii="仿宋" w:hAnsi="仿宋" w:eastAsia="仿宋" w:cs="宋体"/>
          <w:kern w:val="1"/>
          <w:sz w:val="32"/>
          <w:szCs w:val="32"/>
          <w:lang w:val="en-US" w:eastAsia="zh-CN"/>
        </w:rPr>
        <w:t>92130301MA0DMH9B28</w:t>
      </w:r>
      <w:r>
        <w:rPr>
          <w:rFonts w:hint="eastAsia" w:ascii="仿宋" w:hAnsi="仿宋" w:eastAsia="仿宋" w:cs="宋体"/>
          <w:kern w:val="1"/>
          <w:sz w:val="32"/>
          <w:szCs w:val="32"/>
        </w:rPr>
        <w:t>；</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住所（住址）：</w:t>
      </w:r>
      <w:r>
        <w:rPr>
          <w:rFonts w:hint="eastAsia" w:ascii="仿宋" w:hAnsi="仿宋" w:eastAsia="仿宋" w:cs="宋体"/>
          <w:kern w:val="1"/>
          <w:sz w:val="32"/>
          <w:szCs w:val="32"/>
          <w:lang w:val="en-US" w:eastAsia="zh-CN"/>
        </w:rPr>
        <w:t>秦皇岛开发区铂悦山1号配套楼112</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法定代表人（负责人、经营者）：</w:t>
      </w:r>
      <w:r>
        <w:rPr>
          <w:rFonts w:hint="eastAsia" w:ascii="仿宋" w:hAnsi="仿宋" w:eastAsia="仿宋" w:cs="宋体"/>
          <w:kern w:val="1"/>
          <w:sz w:val="32"/>
          <w:szCs w:val="32"/>
          <w:lang w:val="en-US" w:eastAsia="zh-CN"/>
        </w:rPr>
        <w:t>于彩霞</w:t>
      </w:r>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rPr>
        <w:t>身份证号码：</w:t>
      </w:r>
      <w:r>
        <w:rPr>
          <w:rFonts w:hint="eastAsia" w:ascii="仿宋" w:hAnsi="仿宋" w:eastAsia="仿宋" w:cs="仿宋"/>
          <w:color w:val="auto"/>
          <w:kern w:val="1"/>
          <w:sz w:val="32"/>
          <w:szCs w:val="32"/>
          <w:u w:val="none"/>
          <w:lang w:val="en-US" w:eastAsia="zh-CN"/>
        </w:rPr>
        <w:t>37068219******</w:t>
      </w:r>
      <w:bookmarkStart w:id="0" w:name="_GoBack"/>
      <w:bookmarkEnd w:id="0"/>
      <w:r>
        <w:rPr>
          <w:rFonts w:hint="eastAsia" w:ascii="仿宋" w:hAnsi="仿宋" w:eastAsia="仿宋" w:cs="仿宋"/>
          <w:color w:val="auto"/>
          <w:kern w:val="1"/>
          <w:sz w:val="32"/>
          <w:szCs w:val="32"/>
          <w:u w:val="none"/>
          <w:lang w:val="en-US" w:eastAsia="zh-CN"/>
        </w:rPr>
        <w:t>4724</w:t>
      </w:r>
      <w:r>
        <w:rPr>
          <w:rFonts w:hint="eastAsia" w:ascii="仿宋" w:hAnsi="仿宋" w:eastAsia="仿宋" w:cs="仿宋"/>
          <w:color w:val="auto"/>
          <w:kern w:val="1"/>
          <w:sz w:val="32"/>
          <w:szCs w:val="32"/>
          <w:u w:val="none"/>
        </w:rPr>
        <w:t xml:space="preserve"> </w:t>
      </w:r>
      <w:r>
        <w:rPr>
          <w:rFonts w:hint="eastAsia" w:ascii="仿宋" w:hAnsi="仿宋" w:eastAsia="仿宋" w:cs="宋体"/>
          <w:kern w:val="1"/>
          <w:sz w:val="32"/>
          <w:szCs w:val="32"/>
        </w:rPr>
        <w:t>。</w:t>
      </w:r>
      <w:r>
        <w:rPr>
          <w:rFonts w:hint="eastAsia" w:ascii="仿宋" w:hAnsi="仿宋" w:eastAsia="仿宋" w:cs="仿宋"/>
          <w:kern w:val="1"/>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lang w:val="en-US" w:eastAsia="zh-CN"/>
        </w:rPr>
        <w:t>2023年8月15日，本局由“国家食品安全抽样检验信息系统”平台接收到检验报告（№:AAD720022AAF60J0410）后，指派两名执法人员为当事人送达了上述检验报告并对其经营场所进行了现场检查，经营者</w:t>
      </w:r>
      <w:r>
        <w:rPr>
          <w:rFonts w:hint="eastAsia" w:ascii="仿宋" w:hAnsi="仿宋" w:eastAsia="仿宋" w:cs="宋体"/>
          <w:kern w:val="1"/>
          <w:sz w:val="32"/>
          <w:szCs w:val="32"/>
          <w:lang w:val="en-US" w:eastAsia="zh-CN"/>
        </w:rPr>
        <w:t>于彩霞</w:t>
      </w:r>
      <w:r>
        <w:rPr>
          <w:rFonts w:hint="eastAsia" w:ascii="仿宋" w:hAnsi="仿宋" w:eastAsia="仿宋" w:cs="仿宋"/>
          <w:bCs/>
          <w:sz w:val="32"/>
          <w:szCs w:val="32"/>
        </w:rPr>
        <w:t>签收了上述检验报告并提供了当事人营业执照等相关的资料。本局告知当事人如果对上述检验报告及其检验结论有异议，可在收到</w:t>
      </w:r>
      <w:r>
        <w:rPr>
          <w:rFonts w:hint="eastAsia" w:ascii="仿宋" w:hAnsi="仿宋" w:eastAsia="仿宋" w:cs="仿宋"/>
          <w:bCs/>
          <w:sz w:val="32"/>
          <w:szCs w:val="32"/>
          <w:lang w:eastAsia="zh-CN"/>
        </w:rPr>
        <w:t>该检验报告</w:t>
      </w:r>
      <w:r>
        <w:rPr>
          <w:rFonts w:hint="eastAsia" w:ascii="仿宋" w:hAnsi="仿宋" w:eastAsia="仿宋" w:cs="仿宋"/>
          <w:bCs/>
          <w:sz w:val="32"/>
          <w:szCs w:val="32"/>
        </w:rPr>
        <w:t>之日起7个工作日内，向本局提出书面复检申请，并提交相关证明材料；逾期未提出复检的，视为认可检验结论；逾期未提出异议的或者未提供有效证明材料的，视同无异议。当事人对上述检验报告及其检验结论予以认可，在规定的期限内未提出异议以及复检申请。为进一步调查案情，经分局部门负责人批准，本局于2023年</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25</w:t>
      </w:r>
      <w:r>
        <w:rPr>
          <w:rFonts w:hint="eastAsia" w:ascii="仿宋" w:hAnsi="仿宋" w:eastAsia="仿宋" w:cs="仿宋"/>
          <w:bCs/>
          <w:sz w:val="32"/>
          <w:szCs w:val="32"/>
        </w:rPr>
        <w:t>日予以立案调查。</w:t>
      </w:r>
    </w:p>
    <w:p>
      <w:pPr>
        <w:spacing w:line="520" w:lineRule="exact"/>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bCs/>
          <w:sz w:val="32"/>
          <w:szCs w:val="32"/>
        </w:rPr>
        <w:t>经查：</w:t>
      </w:r>
      <w:r>
        <w:rPr>
          <w:rFonts w:hint="eastAsia" w:ascii="仿宋" w:hAnsi="仿宋" w:eastAsia="仿宋" w:cs="仿宋"/>
          <w:bCs/>
          <w:sz w:val="32"/>
          <w:szCs w:val="32"/>
          <w:lang w:val="en-US" w:eastAsia="zh-CN"/>
        </w:rPr>
        <w:t>2023年7月19日，秦皇岛市市场监督管理局经济技术开发区分局委托谱尼测试科技（天津）有限公司对当事人经营的“尖椒”（食品名称：尖椒（辣椒），购进日期：2023-07-19，被抽样单位名称：秦皇岛经济技术开发区林霞超市，标称生产者名称：/ ，联系电话：13343358503，抽样基数：12.5kg。）进行了食品安全监督抽检，2023年8月11日出具了检验报告（№: AAD720022AAF60J0410）；检验项目：联苯菊酯，mg/kg，标准指标：≤0.5，实测值：0.70，单项判定：不合格，检验依据：GB 23200.113-2018；检验结论：经抽样检验，联苯菊酯项目不符合 GB 2763-2021《食品安全国家标准 食品中农药最大残留限量》要求，检验结论为不合格。</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仿宋"/>
          <w:sz w:val="32"/>
          <w:szCs w:val="32"/>
          <w:u w:val="none"/>
          <w:lang w:eastAsia="zh-CN"/>
        </w:rPr>
        <w:t xml:space="preserve">2023年7月19日，当事人由秦皇岛市海港区海阳农副产品批发市场内商户白金库处购进该批次“尖椒”，进货数量：12.5公斤，进货价格：3.6元/公斤，销售价格：5元/公斤。截止到2023年8月15日被查，当事人所经营的该批次“尖椒”已经全部售出，无库存。经计算，当事人违法经营上述食品的货值金额：62.5元，违法所得：17.5元。2023年8月15日，当事人在经营场对所售出该批次“尖椒”进行了公告召回，由于该批次“尖椒”售出时间过长等原因，当事人所售出的该批次“尖椒”食品未能召回。当事人提供了所经营的该批次“尖椒”的供货者身份信息、微信订货截图以及检验合格证明等相关的证明资料。当事人在开展经营活动中建立了食用农产品进货查验记录制度，履行了进货查验义务，当事人有充分证据证明其不知道所经营的该批次“尖椒”不符合食品安全标准，并能如实说明其进货来源。在调查期间未对当事人采取行政强制措施。以上事实清楚，证据充分。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1.当事人经营者于彩霞签字盖章确认的当事人营业执照、食品经营许可证、于彩霞身份证复印件各一份；证明了当事人的基本信息以及经营者自然人身份信息等情况。                         </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2.当事人为授权委托人崔丙林出具的授权委托书一份；受托人崔丙林身份证复印件一份；证明了受托人自然人身份信息以及当事人委托的真实性以及委托权限等相关事项。                      </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3.对当事人经营场所检查笔录一份、现场检查照片打印件七份；对当事人授权委托人崔丙林所做询问笔录一份；当事人所提供的食品召回公告、关于申请免于行政处罚的情况说明、整改报告各一份；证明了当事人开展经营活动以及经营不符合食品安全标准的食品的违法事实等相关事项。                                   </w:t>
      </w:r>
    </w:p>
    <w:p>
      <w:pPr>
        <w:spacing w:line="520" w:lineRule="exac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4.对当事人下达的国家食品安全抽样检验告知书、食品安全抽样检验抽样单（非网络）、检验报告各一份；证明了对当事人所经营的食品进行食品安全监督抽检以及所经营的食品为不符合食品安全标准的食品的真实性等相关事项。                         </w:t>
      </w:r>
    </w:p>
    <w:p>
      <w:pPr>
        <w:spacing w:line="520" w:lineRule="exact"/>
        <w:rPr>
          <w:rFonts w:ascii="Times New Roman" w:hAnsi="??_GB2312" w:eastAsia="Times New Roman" w:cs="??_GB2312"/>
          <w:sz w:val="32"/>
          <w:szCs w:val="32"/>
          <w:u w:val="none"/>
        </w:rPr>
      </w:pPr>
      <w:r>
        <w:rPr>
          <w:rFonts w:hint="eastAsia" w:ascii="仿宋" w:hAnsi="仿宋" w:eastAsia="仿宋" w:cs="仿宋"/>
          <w:sz w:val="32"/>
          <w:szCs w:val="32"/>
          <w:u w:val="none"/>
          <w:lang w:val="en-US" w:eastAsia="zh-CN"/>
        </w:rPr>
        <w:t xml:space="preserve">5.当事人经营者于彩霞签字盖章提供的该批次“尖椒”的微信订货截图打印件五份、蔬菜检测合格证明复印件一份；该证明了当事人履行了进货查验义务，有充分证据证明其不知道所采购的该批次“尖椒”不符合食品安全标准，并能如实说明其进货来源等相关事项。 </w:t>
      </w:r>
      <w:r>
        <w:rPr>
          <w:rFonts w:hint="eastAsia" w:ascii="仿宋" w:hAnsi="仿宋" w:eastAsia="仿宋" w:cs="仿宋"/>
          <w:sz w:val="32"/>
          <w:szCs w:val="32"/>
          <w:u w:val="none"/>
          <w:lang w:eastAsia="zh-CN"/>
        </w:rPr>
        <w:t xml:space="preserve">           </w:t>
      </w:r>
      <w:r>
        <w:rPr>
          <w:rFonts w:ascii="Times New Roman" w:hAnsi="Times New Roman" w:eastAsia="宋体" w:cs="??_GB2312"/>
          <w:sz w:val="32"/>
          <w:szCs w:val="32"/>
          <w:u w:val="none"/>
        </w:rPr>
        <w:t xml:space="preserve">              </w:t>
      </w:r>
      <w:r>
        <w:rPr>
          <w:rFonts w:hint="eastAsia" w:ascii="Times New Roman" w:hAnsi="Times New Roman" w:eastAsia="宋体" w:cs="??_GB2312"/>
          <w:sz w:val="32"/>
          <w:szCs w:val="32"/>
          <w:u w:val="none"/>
        </w:rPr>
        <w:t xml:space="preserve">             </w:t>
      </w:r>
      <w:r>
        <w:rPr>
          <w:rFonts w:ascii="Times New Roman" w:hAnsi="Times New Roman" w:eastAsia="宋体" w:cs="??_GB2312"/>
          <w:sz w:val="32"/>
          <w:szCs w:val="32"/>
          <w:u w:val="none"/>
        </w:rPr>
        <w:t xml:space="preserve"> </w:t>
      </w:r>
    </w:p>
    <w:p>
      <w:pPr>
        <w:spacing w:line="520" w:lineRule="exact"/>
        <w:ind w:firstLine="640" w:firstLineChars="200"/>
        <w:rPr>
          <w:rFonts w:hint="eastAsia" w:ascii="仿宋" w:hAnsi="仿宋" w:eastAsia="仿宋" w:cs="宋体"/>
          <w:color w:val="000000"/>
          <w:sz w:val="32"/>
          <w:szCs w:val="32"/>
          <w:u w:val="none"/>
        </w:rPr>
      </w:pPr>
      <w:r>
        <w:rPr>
          <w:rFonts w:hint="eastAsia" w:ascii="仿宋" w:hAnsi="仿宋" w:eastAsia="仿宋" w:cs="宋体"/>
          <w:color w:val="000000" w:themeColor="text1"/>
          <w:sz w:val="32"/>
          <w:szCs w:val="32"/>
          <w:u w:val="none"/>
        </w:rPr>
        <w:t>202</w:t>
      </w:r>
      <w:r>
        <w:rPr>
          <w:rFonts w:hint="eastAsia" w:ascii="仿宋" w:hAnsi="仿宋" w:eastAsia="仿宋" w:cs="宋体"/>
          <w:color w:val="000000" w:themeColor="text1"/>
          <w:sz w:val="32"/>
          <w:szCs w:val="32"/>
          <w:u w:val="none"/>
          <w:lang w:val="en-US" w:eastAsia="zh-CN"/>
        </w:rPr>
        <w:t>3</w:t>
      </w:r>
      <w:r>
        <w:rPr>
          <w:rFonts w:hint="eastAsia" w:ascii="仿宋" w:hAnsi="仿宋" w:eastAsia="仿宋" w:cs="宋体"/>
          <w:color w:val="000000" w:themeColor="text1"/>
          <w:sz w:val="32"/>
          <w:szCs w:val="32"/>
          <w:u w:val="none"/>
        </w:rPr>
        <w:t>年</w:t>
      </w:r>
      <w:r>
        <w:rPr>
          <w:rFonts w:hint="eastAsia" w:ascii="仿宋" w:hAnsi="仿宋" w:eastAsia="仿宋" w:cs="宋体"/>
          <w:color w:val="000000" w:themeColor="text1"/>
          <w:sz w:val="32"/>
          <w:szCs w:val="32"/>
          <w:u w:val="none"/>
          <w:lang w:val="en-US" w:eastAsia="zh-CN"/>
        </w:rPr>
        <w:t>9</w:t>
      </w:r>
      <w:r>
        <w:rPr>
          <w:rFonts w:hint="eastAsia" w:ascii="仿宋" w:hAnsi="仿宋" w:eastAsia="仿宋" w:cs="宋体"/>
          <w:color w:val="000000" w:themeColor="text1"/>
          <w:sz w:val="32"/>
          <w:szCs w:val="32"/>
          <w:u w:val="none"/>
        </w:rPr>
        <w:t>月</w:t>
      </w:r>
      <w:r>
        <w:rPr>
          <w:rFonts w:hint="eastAsia" w:ascii="仿宋" w:hAnsi="仿宋" w:eastAsia="仿宋" w:cs="宋体"/>
          <w:color w:val="000000" w:themeColor="text1"/>
          <w:sz w:val="32"/>
          <w:szCs w:val="32"/>
          <w:u w:val="none"/>
          <w:lang w:val="en-US" w:eastAsia="zh-CN"/>
        </w:rPr>
        <w:t>28</w:t>
      </w:r>
      <w:r>
        <w:rPr>
          <w:rFonts w:hint="eastAsia" w:ascii="仿宋" w:hAnsi="仿宋" w:eastAsia="仿宋" w:cs="宋体"/>
          <w:color w:val="000000" w:themeColor="text1"/>
          <w:sz w:val="32"/>
          <w:szCs w:val="32"/>
          <w:u w:val="none"/>
        </w:rPr>
        <w:t>日</w:t>
      </w:r>
      <w:r>
        <w:rPr>
          <w:rFonts w:hint="eastAsia" w:ascii="仿宋" w:hAnsi="仿宋" w:eastAsia="仿宋" w:cs="宋体"/>
          <w:color w:val="000000" w:themeColor="text1"/>
          <w:sz w:val="32"/>
          <w:szCs w:val="32"/>
          <w:u w:val="none"/>
          <w:lang w:eastAsia="zh-CN"/>
        </w:rPr>
        <w:t>，本</w:t>
      </w:r>
      <w:r>
        <w:rPr>
          <w:rFonts w:hint="eastAsia" w:ascii="仿宋" w:hAnsi="仿宋" w:eastAsia="仿宋" w:cs="宋体"/>
          <w:color w:val="000000" w:themeColor="text1"/>
          <w:sz w:val="32"/>
          <w:szCs w:val="32"/>
          <w:u w:val="none"/>
        </w:rPr>
        <w:t>局向当事人送达了《</w:t>
      </w:r>
      <w:r>
        <w:rPr>
          <w:rFonts w:hint="eastAsia" w:ascii="仿宋" w:hAnsi="仿宋" w:eastAsia="仿宋" w:cs="宋体"/>
          <w:color w:val="000000"/>
          <w:sz w:val="32"/>
          <w:szCs w:val="32"/>
          <w:u w:val="none"/>
        </w:rPr>
        <w:t>行政处罚告知书》</w:t>
      </w:r>
      <w:r>
        <w:rPr>
          <w:rFonts w:hint="eastAsia" w:ascii="仿宋" w:hAnsi="仿宋" w:eastAsia="仿宋" w:cs="宋体"/>
          <w:color w:val="000000"/>
          <w:sz w:val="32"/>
          <w:szCs w:val="32"/>
          <w:u w:val="none"/>
          <w:lang w:eastAsia="zh-CN"/>
        </w:rPr>
        <w:t>（</w:t>
      </w:r>
      <w:r>
        <w:rPr>
          <w:rFonts w:hint="eastAsia" w:ascii="仿宋" w:hAnsi="仿宋" w:eastAsia="仿宋" w:cs="宋体"/>
          <w:color w:val="000000" w:themeColor="text1"/>
          <w:sz w:val="32"/>
          <w:szCs w:val="32"/>
          <w:u w:val="none"/>
        </w:rPr>
        <w:t>秦市监</w:t>
      </w:r>
      <w:r>
        <w:rPr>
          <w:rFonts w:hint="eastAsia" w:ascii="仿宋" w:hAnsi="仿宋" w:eastAsia="仿宋" w:cs="宋体"/>
          <w:color w:val="000000" w:themeColor="text1"/>
          <w:sz w:val="32"/>
          <w:szCs w:val="32"/>
          <w:u w:val="none"/>
          <w:lang w:eastAsia="zh-CN"/>
        </w:rPr>
        <w:t>罚</w:t>
      </w:r>
      <w:r>
        <w:rPr>
          <w:rFonts w:hint="eastAsia" w:ascii="仿宋" w:hAnsi="仿宋" w:eastAsia="仿宋" w:cs="宋体"/>
          <w:color w:val="000000" w:themeColor="text1"/>
          <w:sz w:val="32"/>
          <w:szCs w:val="32"/>
          <w:u w:val="none"/>
        </w:rPr>
        <w:t>告[202</w:t>
      </w:r>
      <w:r>
        <w:rPr>
          <w:rFonts w:hint="eastAsia" w:ascii="仿宋" w:hAnsi="仿宋" w:eastAsia="仿宋" w:cs="宋体"/>
          <w:color w:val="000000" w:themeColor="text1"/>
          <w:sz w:val="32"/>
          <w:szCs w:val="32"/>
          <w:u w:val="none"/>
          <w:lang w:val="en-US" w:eastAsia="zh-CN"/>
        </w:rPr>
        <w:t>3</w:t>
      </w:r>
      <w:r>
        <w:rPr>
          <w:rFonts w:hint="eastAsia" w:ascii="仿宋" w:hAnsi="仿宋" w:eastAsia="仿宋" w:cs="宋体"/>
          <w:color w:val="000000" w:themeColor="text1"/>
          <w:sz w:val="32"/>
          <w:szCs w:val="32"/>
          <w:u w:val="none"/>
        </w:rPr>
        <w:t>]</w:t>
      </w:r>
      <w:r>
        <w:rPr>
          <w:rFonts w:hint="eastAsia" w:ascii="仿宋" w:hAnsi="仿宋" w:eastAsia="仿宋" w:cs="宋体"/>
          <w:color w:val="000000" w:themeColor="text1"/>
          <w:sz w:val="32"/>
          <w:szCs w:val="32"/>
          <w:u w:val="none"/>
          <w:lang w:val="en-US" w:eastAsia="zh-CN"/>
        </w:rPr>
        <w:t>1117</w:t>
      </w:r>
      <w:r>
        <w:rPr>
          <w:rFonts w:hint="eastAsia" w:ascii="仿宋" w:hAnsi="仿宋" w:eastAsia="仿宋" w:cs="宋体"/>
          <w:color w:val="000000" w:themeColor="text1"/>
          <w:sz w:val="32"/>
          <w:szCs w:val="32"/>
          <w:u w:val="none"/>
        </w:rPr>
        <w:t>号</w:t>
      </w:r>
      <w:r>
        <w:rPr>
          <w:rFonts w:hint="eastAsia" w:ascii="仿宋" w:hAnsi="仿宋" w:eastAsia="仿宋" w:cs="宋体"/>
          <w:color w:val="000000"/>
          <w:sz w:val="32"/>
          <w:szCs w:val="32"/>
          <w:u w:val="none"/>
          <w:lang w:eastAsia="zh-CN"/>
        </w:rPr>
        <w:t>）</w:t>
      </w:r>
      <w:r>
        <w:rPr>
          <w:rFonts w:hint="eastAsia" w:ascii="仿宋" w:hAnsi="仿宋" w:eastAsia="仿宋" w:cs="宋体"/>
          <w:color w:val="000000"/>
          <w:sz w:val="32"/>
          <w:szCs w:val="32"/>
          <w:u w:val="none"/>
        </w:rPr>
        <w:t>，</w:t>
      </w:r>
      <w:r>
        <w:rPr>
          <w:rFonts w:hint="eastAsia" w:ascii="仿宋" w:hAnsi="仿宋" w:eastAsia="仿宋" w:cs="宋体"/>
          <w:bCs/>
          <w:color w:val="000000"/>
          <w:sz w:val="32"/>
          <w:szCs w:val="32"/>
          <w:lang w:eastAsia="zh-CN"/>
        </w:rPr>
        <w:t>告知了本</w:t>
      </w:r>
      <w:r>
        <w:rPr>
          <w:rFonts w:hint="eastAsia" w:ascii="仿宋" w:hAnsi="仿宋" w:eastAsia="仿宋" w:cs="宋体"/>
          <w:bCs/>
          <w:color w:val="000000"/>
          <w:sz w:val="32"/>
          <w:szCs w:val="32"/>
        </w:rPr>
        <w:t>局拟作出</w:t>
      </w:r>
      <w:r>
        <w:rPr>
          <w:rFonts w:hint="eastAsia" w:ascii="仿宋" w:hAnsi="仿宋" w:eastAsia="仿宋" w:cs="宋体"/>
          <w:bCs/>
          <w:color w:val="000000"/>
          <w:sz w:val="32"/>
          <w:szCs w:val="32"/>
          <w:lang w:eastAsia="zh-CN"/>
        </w:rPr>
        <w:t>不予</w:t>
      </w:r>
      <w:r>
        <w:rPr>
          <w:rFonts w:hint="eastAsia" w:ascii="仿宋" w:hAnsi="仿宋" w:eastAsia="仿宋" w:cs="宋体"/>
          <w:bCs/>
          <w:color w:val="000000"/>
          <w:sz w:val="32"/>
          <w:szCs w:val="32"/>
        </w:rPr>
        <w:t>行政处罚的内容及事实、理由、依据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color w:val="000000"/>
          <w:sz w:val="32"/>
          <w:szCs w:val="32"/>
          <w:u w:val="none"/>
        </w:rPr>
        <w:t>当事人自收到该告知书之日起</w:t>
      </w:r>
      <w:r>
        <w:rPr>
          <w:rFonts w:hint="eastAsia" w:ascii="仿宋" w:hAnsi="仿宋" w:eastAsia="仿宋" w:cs="宋体"/>
          <w:color w:val="000000"/>
          <w:sz w:val="32"/>
          <w:szCs w:val="32"/>
          <w:u w:val="none"/>
          <w:lang w:eastAsia="zh-CN"/>
        </w:rPr>
        <w:t>五</w:t>
      </w:r>
      <w:r>
        <w:rPr>
          <w:rFonts w:hint="eastAsia" w:ascii="仿宋" w:hAnsi="仿宋" w:eastAsia="仿宋" w:cs="宋体"/>
          <w:color w:val="000000"/>
          <w:sz w:val="32"/>
          <w:szCs w:val="32"/>
          <w:u w:val="none"/>
        </w:rPr>
        <w:t>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rPr>
        <w:t xml:space="preserve">当事人的上述行为违反了《中华人民共和国食品安全法》第三十四条第（二）项：“禁止生产经营下列食品、食品添加剂、食品相关产品： （二）致病性微生物，农药残留、兽药残留、生物毒素、重金属等污染物质以及其他危害人体健康的物质含量超过食品安全标准限量的食品、食品添加剂、食品相关产品；”的规定，属于经营不符合食品安全标准的食品的违法行为。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jc w:val="left"/>
        <w:rPr>
          <w:rFonts w:hint="eastAsia"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当事人经营不符合食品安全标准的食品的违法行为违反了《中华人民共和国食品安全法》第三十四条第（二）项的规定，依据《中华人民共和国食品安全法》第一百二十四条第一款第（一）项的规定应予以行政处罚。鉴于当事人在采购该批次“尖椒”时查验了供货者身份证明、蔬菜检测合格证等相关文件，有充分证据证明其不知道所经营的该批次食品不符合食品安全标准，并能如实说明其进货来源，依据《中华人民共和国食品安全法》第一百三十六条的规定，对当事人可以免予处罚。</w:t>
      </w:r>
    </w:p>
    <w:p>
      <w:pPr>
        <w:spacing w:line="520" w:lineRule="exact"/>
        <w:ind w:firstLine="640"/>
        <w:jc w:val="left"/>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 xml:space="preserve"> 结合案件实际情况，经综合考量对当事人免予处罚。</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rPr>
        <w:t>对当事人经营不符合食品安全标准的食品的违法行为，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责令当事人改正上述违法行为，并</w:t>
      </w:r>
      <w:r>
        <w:rPr>
          <w:rFonts w:hint="eastAsia" w:ascii="仿宋" w:hAnsi="仿宋" w:eastAsia="仿宋" w:cs="楷体_GB2312"/>
          <w:color w:val="000000"/>
          <w:sz w:val="32"/>
          <w:szCs w:val="32"/>
          <w:u w:val="none"/>
          <w:lang w:eastAsia="zh-CN"/>
        </w:rPr>
        <w:t>决定</w:t>
      </w:r>
      <w:r>
        <w:rPr>
          <w:rFonts w:hint="eastAsia" w:ascii="仿宋" w:hAnsi="仿宋" w:eastAsia="仿宋" w:cs="楷体_GB2312"/>
          <w:color w:val="000000"/>
          <w:sz w:val="32"/>
          <w:szCs w:val="32"/>
          <w:u w:val="none"/>
        </w:rPr>
        <w:t xml:space="preserve">对当事人免予处罚。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依据《中华人民共和国行政处罚法》第三十三条第三款的规定，对当事人进行教育，具体内容如下：</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1、要求当事人开展经营活动中严格执行</w:t>
      </w:r>
      <w:r>
        <w:rPr>
          <w:rFonts w:hint="eastAsia" w:ascii="仿宋" w:hAnsi="仿宋" w:eastAsia="仿宋" w:cs="楷体_GB2312"/>
          <w:color w:val="000000"/>
          <w:sz w:val="32"/>
          <w:szCs w:val="32"/>
          <w:u w:val="none"/>
        </w:rPr>
        <w:t>《中华人民共和国食品安全法》</w:t>
      </w:r>
      <w:r>
        <w:rPr>
          <w:rFonts w:hint="eastAsia" w:ascii="仿宋" w:hAnsi="仿宋" w:eastAsia="仿宋" w:cs="宋体"/>
          <w:sz w:val="32"/>
          <w:szCs w:val="32"/>
          <w:u w:val="none"/>
          <w:lang w:val="en-US" w:eastAsia="zh-CN"/>
        </w:rPr>
        <w:t>的相关规定，履行进货查验义务，并保存相关凭证；销售符合食品安全标准和国家相关规定的食品，保证食品质量与食品安全。</w:t>
      </w:r>
    </w:p>
    <w:p>
      <w:pPr>
        <w:autoSpaceDE w:val="0"/>
        <w:autoSpaceDN w:val="0"/>
        <w:adjustRightInd w:val="0"/>
        <w:spacing w:after="20"/>
        <w:ind w:firstLine="640" w:firstLineChars="200"/>
        <w:jc w:val="left"/>
        <w:rPr>
          <w:rFonts w:ascii="仿宋" w:hAnsi="仿宋" w:eastAsia="仿宋" w:cs="宋体"/>
          <w:sz w:val="32"/>
          <w:szCs w:val="32"/>
          <w:u w:val="none"/>
        </w:rPr>
      </w:pPr>
      <w:r>
        <w:rPr>
          <w:rFonts w:hint="eastAsia" w:ascii="仿宋" w:hAnsi="仿宋" w:eastAsia="仿宋" w:cs="宋体"/>
          <w:sz w:val="32"/>
          <w:szCs w:val="32"/>
          <w:u w:val="none"/>
          <w:lang w:val="en-US" w:eastAsia="zh-CN"/>
        </w:rPr>
        <w:t xml:space="preserve">2、要求当事人及时开展对食品批发市场供货者的考察比较工作，要求当事人选择取得信誉度较高、经营状态稳定的食品生产加工企业作为合作对象，确保进货渠道正规、合法，采购的食品安全、有保证。                 </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color w:val="000000"/>
          <w:sz w:val="32"/>
          <w:szCs w:val="32"/>
          <w:lang w:val="en-US" w:eastAsia="zh-CN"/>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 xml:space="preserve">秦皇岛市市场监督管理局                     </w:t>
      </w:r>
    </w:p>
    <w:p>
      <w:pPr>
        <w:spacing w:line="460" w:lineRule="exact"/>
        <w:ind w:right="640" w:firstLine="601"/>
        <w:jc w:val="center"/>
        <w:rPr>
          <w:rFonts w:hint="eastAsia" w:ascii="仿宋" w:hAnsi="仿宋" w:eastAsia="仿宋" w:cs="宋体"/>
          <w:color w:val="000000"/>
          <w:sz w:val="32"/>
          <w:szCs w:val="32"/>
        </w:rPr>
      </w:pP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themeColor="text1"/>
          <w:sz w:val="32"/>
          <w:szCs w:val="32"/>
          <w:lang w:val="en-US" w:eastAsia="zh-CN"/>
        </w:rPr>
        <w:t xml:space="preserve"> 2023</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10</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17</w:t>
      </w:r>
      <w:r>
        <w:rPr>
          <w:rFonts w:hint="eastAsia" w:ascii="仿宋" w:hAnsi="仿宋" w:eastAsia="仿宋" w:cs="宋体"/>
          <w:color w:val="000000" w:themeColor="text1"/>
          <w:sz w:val="32"/>
          <w:szCs w:val="32"/>
          <w:lang w:eastAsia="zh-CN"/>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474" w:right="1417"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F2AD2"/>
    <w:rsid w:val="02016291"/>
    <w:rsid w:val="0548762F"/>
    <w:rsid w:val="05E51322"/>
    <w:rsid w:val="07582258"/>
    <w:rsid w:val="0865473F"/>
    <w:rsid w:val="097E5D15"/>
    <w:rsid w:val="0AAA48E8"/>
    <w:rsid w:val="0ADD6A6C"/>
    <w:rsid w:val="0B084B61"/>
    <w:rsid w:val="0CF85DDF"/>
    <w:rsid w:val="0D3606B5"/>
    <w:rsid w:val="0D4B051E"/>
    <w:rsid w:val="0D8F0E62"/>
    <w:rsid w:val="0E9E667F"/>
    <w:rsid w:val="0EFE2AE5"/>
    <w:rsid w:val="10A06571"/>
    <w:rsid w:val="10DC33CA"/>
    <w:rsid w:val="1326357C"/>
    <w:rsid w:val="145965B8"/>
    <w:rsid w:val="176C7D82"/>
    <w:rsid w:val="18F14FE3"/>
    <w:rsid w:val="18F54550"/>
    <w:rsid w:val="1B011DB6"/>
    <w:rsid w:val="1C735D4E"/>
    <w:rsid w:val="1D1E4DDD"/>
    <w:rsid w:val="1F251A8E"/>
    <w:rsid w:val="1F342DB1"/>
    <w:rsid w:val="1F4F5879"/>
    <w:rsid w:val="1FCD30FB"/>
    <w:rsid w:val="22885BF9"/>
    <w:rsid w:val="230F32EC"/>
    <w:rsid w:val="233139A1"/>
    <w:rsid w:val="23330FA6"/>
    <w:rsid w:val="23627A12"/>
    <w:rsid w:val="27D03788"/>
    <w:rsid w:val="28D252DE"/>
    <w:rsid w:val="29310FC7"/>
    <w:rsid w:val="2A9E5BAD"/>
    <w:rsid w:val="2B5F1D03"/>
    <w:rsid w:val="2CE02D8A"/>
    <w:rsid w:val="2E6D3792"/>
    <w:rsid w:val="2EDD57E5"/>
    <w:rsid w:val="2F260132"/>
    <w:rsid w:val="30C419B0"/>
    <w:rsid w:val="30C85944"/>
    <w:rsid w:val="31391305"/>
    <w:rsid w:val="31AA3230"/>
    <w:rsid w:val="351006CF"/>
    <w:rsid w:val="36517812"/>
    <w:rsid w:val="372907BF"/>
    <w:rsid w:val="3739489D"/>
    <w:rsid w:val="38A72FFF"/>
    <w:rsid w:val="38CF1AE5"/>
    <w:rsid w:val="39002A92"/>
    <w:rsid w:val="399F2E5C"/>
    <w:rsid w:val="3A3758E9"/>
    <w:rsid w:val="3D4E01F0"/>
    <w:rsid w:val="3DD376D7"/>
    <w:rsid w:val="3E9F6A9D"/>
    <w:rsid w:val="3ED2798E"/>
    <w:rsid w:val="3ED43706"/>
    <w:rsid w:val="3FF27CAC"/>
    <w:rsid w:val="41B234F8"/>
    <w:rsid w:val="43592C00"/>
    <w:rsid w:val="44612D2C"/>
    <w:rsid w:val="449000D0"/>
    <w:rsid w:val="45102FBE"/>
    <w:rsid w:val="45BC42A2"/>
    <w:rsid w:val="4711663E"/>
    <w:rsid w:val="47DB5022"/>
    <w:rsid w:val="48F32FE7"/>
    <w:rsid w:val="49C26624"/>
    <w:rsid w:val="4B5C2FFF"/>
    <w:rsid w:val="4B8D5369"/>
    <w:rsid w:val="4C0A2769"/>
    <w:rsid w:val="4CB50C3F"/>
    <w:rsid w:val="4D0E4C96"/>
    <w:rsid w:val="517555E9"/>
    <w:rsid w:val="52CD7C74"/>
    <w:rsid w:val="52E22C40"/>
    <w:rsid w:val="54C945E8"/>
    <w:rsid w:val="558A777C"/>
    <w:rsid w:val="55D2722F"/>
    <w:rsid w:val="57EF4FEC"/>
    <w:rsid w:val="58E540C7"/>
    <w:rsid w:val="596A6259"/>
    <w:rsid w:val="5A6F262D"/>
    <w:rsid w:val="5A9C0C23"/>
    <w:rsid w:val="5ACC5E3B"/>
    <w:rsid w:val="5C5869BC"/>
    <w:rsid w:val="5DC80482"/>
    <w:rsid w:val="5DD34530"/>
    <w:rsid w:val="5F9C5F6A"/>
    <w:rsid w:val="5FE132A9"/>
    <w:rsid w:val="610052A8"/>
    <w:rsid w:val="62C84A71"/>
    <w:rsid w:val="63345069"/>
    <w:rsid w:val="63384043"/>
    <w:rsid w:val="64067E2C"/>
    <w:rsid w:val="641C6E32"/>
    <w:rsid w:val="652E4ACF"/>
    <w:rsid w:val="65493C57"/>
    <w:rsid w:val="66F65DC0"/>
    <w:rsid w:val="675853C5"/>
    <w:rsid w:val="68375B27"/>
    <w:rsid w:val="68B00721"/>
    <w:rsid w:val="6905651F"/>
    <w:rsid w:val="6AC1688E"/>
    <w:rsid w:val="6BF55FC2"/>
    <w:rsid w:val="6CCF31D4"/>
    <w:rsid w:val="6D4B31B8"/>
    <w:rsid w:val="6E783501"/>
    <w:rsid w:val="6FCF30CF"/>
    <w:rsid w:val="6FE169C0"/>
    <w:rsid w:val="709D2F56"/>
    <w:rsid w:val="712F57B0"/>
    <w:rsid w:val="715D2B8F"/>
    <w:rsid w:val="71971C3B"/>
    <w:rsid w:val="71B4761C"/>
    <w:rsid w:val="72372DDF"/>
    <w:rsid w:val="73011F50"/>
    <w:rsid w:val="74A133F0"/>
    <w:rsid w:val="74EA5B80"/>
    <w:rsid w:val="75720FA8"/>
    <w:rsid w:val="76C001DA"/>
    <w:rsid w:val="79D7762B"/>
    <w:rsid w:val="7B494559"/>
    <w:rsid w:val="7D9A64D2"/>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2755</Words>
  <Characters>2961</Characters>
  <Lines>26</Lines>
  <Paragraphs>7</Paragraphs>
  <TotalTime>129</TotalTime>
  <ScaleCrop>false</ScaleCrop>
  <LinksUpToDate>false</LinksUpToDate>
  <CharactersWithSpaces>3660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2023-07-29T03:47:00Z</cp:lastPrinted>
  <dcterms:modified xsi:type="dcterms:W3CDTF">2023-10-19T07:00:32Z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