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jc w:val="center"/>
        <w:rPr>
          <w:rFonts w:ascii="Times New Roman" w:hAnsi="Times New Roman" w:eastAsia="方正小标宋简体" w:cs="方正小标宋简体"/>
          <w:color w:val="000000"/>
          <w:sz w:val="44"/>
          <w:szCs w:val="44"/>
        </w:rPr>
      </w:pPr>
      <w:r>
        <w:rPr>
          <w:rFonts w:hint="eastAsia" w:ascii="方正小标宋简体" w:hAnsi="方正小标宋简体" w:eastAsia="方正小标宋简体" w:cs="方正小标宋简体"/>
          <w:bCs/>
          <w:sz w:val="44"/>
          <w:szCs w:val="44"/>
          <w:u w:val="thick"/>
        </w:rPr>
        <w:t>秦皇岛市</w:t>
      </w:r>
      <w:r>
        <w:rPr>
          <w:rFonts w:hint="eastAsia" w:ascii="Times New Roman" w:hAnsi="方正小标宋简体" w:eastAsia="方正小标宋简体" w:cs="方正小标宋简体"/>
          <w:bCs/>
          <w:color w:val="000000"/>
          <w:sz w:val="44"/>
          <w:szCs w:val="44"/>
        </w:rPr>
        <w:t>市场监督管理局</w:t>
      </w:r>
    </w:p>
    <w:p>
      <w:pPr>
        <w:spacing w:line="640" w:lineRule="exact"/>
        <w:jc w:val="center"/>
        <w:rPr>
          <w:rFonts w:ascii="Times New Roman" w:hAnsi="Times New Roman" w:eastAsia="方正小标宋简体" w:cs="方正小标宋简体"/>
          <w:bCs/>
          <w:color w:val="000000"/>
          <w:sz w:val="44"/>
          <w:szCs w:val="44"/>
        </w:rPr>
      </w:pPr>
      <w:r>
        <w:rPr>
          <w:rFonts w:hint="eastAsia" w:ascii="Times New Roman" w:hAnsi="方正小标宋简体" w:eastAsia="方正小标宋简体" w:cs="方正小标宋简体"/>
          <w:bCs/>
          <w:color w:val="000000"/>
          <w:sz w:val="44"/>
          <w:szCs w:val="44"/>
        </w:rPr>
        <w:t>行政处罚决定书</w:t>
      </w:r>
    </w:p>
    <w:p>
      <w:pPr>
        <w:wordWrap w:val="0"/>
        <w:snapToGrid w:val="0"/>
        <w:spacing w:beforeLines="100" w:afterLines="100" w:line="520" w:lineRule="exact"/>
        <w:jc w:val="center"/>
        <w:rPr>
          <w:rFonts w:ascii="仿宋" w:hAnsi="仿宋" w:eastAsia="仿宋" w:cs="仿宋"/>
          <w:color w:val="FF0000"/>
          <w:sz w:val="32"/>
          <w:szCs w:val="32"/>
        </w:rPr>
      </w:pPr>
      <w:r>
        <w:rPr>
          <w:rFonts w:ascii="仿宋" w:hAnsi="仿宋" w:eastAsia="仿宋" w:cs="Times New Roman"/>
          <w:szCs w:val="24"/>
        </w:rPr>
        <w:pict>
          <v:shape id="_x0000_s1026" o:spid="_x0000_s1026" o:spt="32" type="#_x0000_t32" style="position:absolute;left:0pt;margin-left:2pt;margin-top:1638pt;height:0.1pt;width:453.7pt;z-index:251660288;mso-width-relative:page;mso-height-relative:page;" filled="f" coordsize="21600,21600" o:gfxdata="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i14omtoA&#10;AAALAQAADwAAAAAAAAABACAAAAAiAAAAZHJzL2Rvd25yZXYueG1sUEsBAhQAFAAAAAgAh07iQE2I&#10;tvHkAQAAfQMAAA4AAAAAAAAAAQAgAAAAKQEAAGRycy9lMm9Eb2MueG1sUEsFBgAAAAAGAAYAWQEA&#10;AH8FAAAAAA==&#10;">
            <v:path arrowok="t"/>
            <v:fill on="f" focussize="0,0"/>
            <v:stroke weight="1.5pt" endcap="square"/>
            <v:imagedata o:title=""/>
            <o:lock v:ext="edit"/>
          </v:shape>
        </w:pict>
      </w:r>
      <w:r>
        <w:rPr>
          <w:rFonts w:ascii="仿宋" w:hAnsi="仿宋" w:eastAsia="仿宋" w:cs="仿宋"/>
          <w:color w:val="000000"/>
          <w:sz w:val="32"/>
          <w:szCs w:val="32"/>
        </w:rPr>
        <w:t xml:space="preserve">  </w:t>
      </w:r>
      <w:r>
        <w:rPr>
          <w:rFonts w:hint="eastAsia" w:ascii="仿宋" w:hAnsi="仿宋" w:eastAsia="仿宋" w:cs="仿宋"/>
          <w:color w:val="000000"/>
          <w:sz w:val="32"/>
          <w:szCs w:val="32"/>
        </w:rPr>
        <w:t>秦</w:t>
      </w:r>
      <w:r>
        <w:rPr>
          <w:rFonts w:hint="eastAsia" w:ascii="仿宋" w:hAnsi="仿宋" w:eastAsia="仿宋" w:cs="宋体"/>
          <w:color w:val="000000"/>
          <w:sz w:val="32"/>
          <w:szCs w:val="32"/>
        </w:rPr>
        <w:t>市监</w:t>
      </w:r>
      <w:r>
        <w:rPr>
          <w:rFonts w:hint="eastAsia" w:ascii="仿宋" w:hAnsi="仿宋" w:eastAsia="仿宋" w:cs="仿宋"/>
          <w:color w:val="000000"/>
          <w:sz w:val="32"/>
          <w:szCs w:val="32"/>
        </w:rPr>
        <w:t>处罚</w:t>
      </w:r>
      <w:r>
        <w:rPr>
          <w:rFonts w:hint="eastAsia" w:ascii="仿宋" w:hAnsi="仿宋" w:eastAsia="仿宋" w:cs="宋体"/>
          <w:color w:val="000000"/>
          <w:sz w:val="32"/>
          <w:szCs w:val="32"/>
        </w:rPr>
        <w:t>〔</w:t>
      </w:r>
      <w:r>
        <w:rPr>
          <w:rFonts w:hint="eastAsia" w:ascii="仿宋" w:hAnsi="仿宋" w:eastAsia="仿宋" w:cs="仿宋"/>
          <w:color w:val="000000"/>
          <w:sz w:val="32"/>
          <w:szCs w:val="32"/>
        </w:rPr>
        <w:t>202</w:t>
      </w:r>
      <w:r>
        <w:rPr>
          <w:rFonts w:hint="eastAsia" w:ascii="仿宋" w:hAnsi="仿宋" w:eastAsia="仿宋" w:cs="仿宋"/>
          <w:color w:val="000000"/>
          <w:sz w:val="32"/>
          <w:szCs w:val="32"/>
          <w:lang w:val="en-US" w:eastAsia="zh-CN"/>
        </w:rPr>
        <w:t>3</w:t>
      </w:r>
      <w:r>
        <w:rPr>
          <w:rFonts w:hint="eastAsia" w:ascii="仿宋" w:hAnsi="仿宋" w:eastAsia="仿宋" w:cs="宋体"/>
          <w:color w:val="000000"/>
          <w:sz w:val="32"/>
          <w:szCs w:val="32"/>
        </w:rPr>
        <w:t>〕</w:t>
      </w:r>
      <w:r>
        <w:rPr>
          <w:rFonts w:hint="eastAsia" w:ascii="仿宋" w:hAnsi="仿宋" w:eastAsia="仿宋" w:cs="仿宋"/>
          <w:color w:val="auto"/>
          <w:sz w:val="32"/>
          <w:szCs w:val="32"/>
        </w:rPr>
        <w:t>1</w:t>
      </w:r>
      <w:r>
        <w:rPr>
          <w:rFonts w:hint="eastAsia" w:ascii="仿宋" w:hAnsi="仿宋" w:eastAsia="仿宋" w:cs="仿宋"/>
          <w:color w:val="auto"/>
          <w:sz w:val="32"/>
          <w:szCs w:val="32"/>
          <w:lang w:val="en-US" w:eastAsia="zh-CN"/>
        </w:rPr>
        <w:t>108</w:t>
      </w:r>
      <w:r>
        <w:rPr>
          <w:rFonts w:hint="eastAsia" w:ascii="仿宋" w:hAnsi="仿宋" w:eastAsia="仿宋" w:cs="宋体"/>
          <w:color w:val="auto"/>
          <w:sz w:val="32"/>
          <w:szCs w:val="32"/>
        </w:rPr>
        <w:t>号</w:t>
      </w:r>
    </w:p>
    <w:p>
      <w:pPr>
        <w:spacing w:line="500" w:lineRule="exact"/>
        <w:ind w:left="140" w:hanging="140"/>
        <w:rPr>
          <w:rFonts w:hint="eastAsia" w:ascii="仿宋" w:hAnsi="仿宋" w:eastAsia="仿宋" w:cs="宋体"/>
          <w:kern w:val="1"/>
          <w:sz w:val="32"/>
          <w:szCs w:val="32"/>
        </w:rPr>
      </w:pPr>
      <w:r>
        <w:rPr>
          <w:rFonts w:hint="eastAsia" w:ascii="仿宋" w:hAnsi="仿宋" w:eastAsia="仿宋" w:cs="??_GB2312"/>
          <w:sz w:val="32"/>
          <w:szCs w:val="32"/>
        </w:rPr>
        <w:t>当事</w:t>
      </w:r>
      <w:r>
        <w:rPr>
          <w:rFonts w:hint="eastAsia" w:ascii="仿宋" w:hAnsi="仿宋" w:eastAsia="仿宋" w:cs="宋体"/>
          <w:kern w:val="1"/>
          <w:sz w:val="32"/>
          <w:szCs w:val="32"/>
        </w:rPr>
        <w:t>人：秦皇岛经济技术开发区</w:t>
      </w:r>
      <w:r>
        <w:rPr>
          <w:rFonts w:hint="eastAsia" w:ascii="仿宋" w:hAnsi="仿宋" w:eastAsia="仿宋" w:cs="宋体"/>
          <w:kern w:val="1"/>
          <w:sz w:val="32"/>
          <w:szCs w:val="32"/>
          <w:lang w:eastAsia="zh-CN"/>
        </w:rPr>
        <w:t>高厨快餐店</w:t>
      </w:r>
      <w:r>
        <w:rPr>
          <w:rFonts w:hint="eastAsia" w:ascii="仿宋" w:hAnsi="仿宋" w:eastAsia="仿宋" w:cs="宋体"/>
          <w:kern w:val="1"/>
          <w:sz w:val="32"/>
          <w:szCs w:val="32"/>
        </w:rPr>
        <w:t>；</w:t>
      </w:r>
    </w:p>
    <w:p>
      <w:pPr>
        <w:spacing w:line="500" w:lineRule="exact"/>
        <w:ind w:left="140" w:hanging="140"/>
        <w:rPr>
          <w:rFonts w:hint="eastAsia" w:ascii="仿宋" w:hAnsi="仿宋" w:eastAsia="仿宋" w:cs="宋体"/>
          <w:kern w:val="1"/>
          <w:sz w:val="32"/>
          <w:szCs w:val="32"/>
        </w:rPr>
      </w:pPr>
      <w:r>
        <w:rPr>
          <w:rFonts w:hint="eastAsia" w:ascii="仿宋" w:hAnsi="仿宋" w:eastAsia="仿宋" w:cs="宋体"/>
          <w:kern w:val="1"/>
          <w:sz w:val="32"/>
          <w:szCs w:val="32"/>
        </w:rPr>
        <w:t xml:space="preserve">主体资格证照名称：营业执照；                                    </w:t>
      </w:r>
    </w:p>
    <w:p>
      <w:pPr>
        <w:spacing w:line="500" w:lineRule="exact"/>
        <w:ind w:left="140" w:hanging="140"/>
        <w:rPr>
          <w:rFonts w:hint="eastAsia" w:ascii="仿宋" w:hAnsi="仿宋" w:eastAsia="仿宋" w:cs="宋体"/>
          <w:kern w:val="1"/>
          <w:sz w:val="32"/>
          <w:szCs w:val="32"/>
        </w:rPr>
      </w:pPr>
      <w:r>
        <w:rPr>
          <w:rFonts w:hint="eastAsia" w:ascii="仿宋" w:hAnsi="仿宋" w:eastAsia="仿宋" w:cs="宋体"/>
          <w:kern w:val="1"/>
          <w:sz w:val="32"/>
          <w:szCs w:val="32"/>
        </w:rPr>
        <w:t>统一社会信用代码：92130301MA</w:t>
      </w:r>
      <w:r>
        <w:rPr>
          <w:rFonts w:hint="eastAsia" w:ascii="仿宋" w:hAnsi="仿宋" w:eastAsia="仿宋" w:cs="宋体"/>
          <w:kern w:val="1"/>
          <w:sz w:val="32"/>
          <w:szCs w:val="32"/>
          <w:lang w:val="en-US" w:eastAsia="zh-CN"/>
        </w:rPr>
        <w:t>08PQJR32</w:t>
      </w:r>
      <w:r>
        <w:rPr>
          <w:rFonts w:hint="eastAsia" w:ascii="仿宋" w:hAnsi="仿宋" w:eastAsia="仿宋" w:cs="宋体"/>
          <w:kern w:val="1"/>
          <w:sz w:val="32"/>
          <w:szCs w:val="32"/>
        </w:rPr>
        <w:t xml:space="preserve">；                                   </w:t>
      </w:r>
    </w:p>
    <w:p>
      <w:pPr>
        <w:spacing w:line="500" w:lineRule="exact"/>
        <w:ind w:left="140" w:hanging="140"/>
        <w:rPr>
          <w:rFonts w:ascii="仿宋" w:hAnsi="仿宋" w:eastAsia="仿宋" w:cs="宋体"/>
          <w:kern w:val="1"/>
          <w:sz w:val="32"/>
          <w:szCs w:val="32"/>
        </w:rPr>
      </w:pPr>
      <w:r>
        <w:rPr>
          <w:rFonts w:hint="eastAsia" w:ascii="仿宋" w:hAnsi="仿宋" w:eastAsia="仿宋" w:cs="宋体"/>
          <w:kern w:val="1"/>
          <w:sz w:val="32"/>
          <w:szCs w:val="32"/>
        </w:rPr>
        <w:t>住所（住址）：秦皇岛开发区</w:t>
      </w:r>
      <w:r>
        <w:rPr>
          <w:rFonts w:hint="eastAsia" w:ascii="仿宋" w:hAnsi="仿宋" w:eastAsia="仿宋" w:cs="宋体"/>
          <w:kern w:val="1"/>
          <w:sz w:val="32"/>
          <w:szCs w:val="32"/>
          <w:lang w:eastAsia="zh-CN"/>
        </w:rPr>
        <w:t>娄山路南侧</w:t>
      </w:r>
      <w:r>
        <w:rPr>
          <w:rFonts w:hint="eastAsia" w:ascii="仿宋" w:hAnsi="仿宋" w:eastAsia="仿宋" w:cs="宋体"/>
          <w:kern w:val="1"/>
          <w:sz w:val="32"/>
          <w:szCs w:val="32"/>
        </w:rPr>
        <w:t xml:space="preserve"> ；</w:t>
      </w:r>
      <w:r>
        <w:rPr>
          <w:rFonts w:ascii="仿宋" w:hAnsi="仿宋" w:eastAsia="仿宋" w:cs="宋体"/>
          <w:kern w:val="1"/>
          <w:sz w:val="32"/>
          <w:szCs w:val="32"/>
        </w:rPr>
        <w:t xml:space="preserve">                                               </w:t>
      </w:r>
    </w:p>
    <w:p>
      <w:pPr>
        <w:spacing w:line="500" w:lineRule="exact"/>
        <w:ind w:left="140" w:hanging="140"/>
        <w:rPr>
          <w:rFonts w:ascii="仿宋" w:hAnsi="仿宋" w:eastAsia="仿宋" w:cs="宋体"/>
          <w:kern w:val="1"/>
          <w:sz w:val="32"/>
          <w:szCs w:val="32"/>
        </w:rPr>
      </w:pPr>
      <w:r>
        <w:rPr>
          <w:rFonts w:hint="eastAsia" w:ascii="仿宋" w:hAnsi="仿宋" w:eastAsia="仿宋" w:cs="宋体"/>
          <w:kern w:val="1"/>
          <w:sz w:val="32"/>
          <w:szCs w:val="32"/>
        </w:rPr>
        <w:t>法定代表人（负责人、经营者）：</w:t>
      </w:r>
      <w:r>
        <w:rPr>
          <w:rFonts w:hint="eastAsia" w:ascii="仿宋" w:hAnsi="仿宋" w:eastAsia="仿宋" w:cs="宋体"/>
          <w:kern w:val="1"/>
          <w:sz w:val="32"/>
          <w:szCs w:val="32"/>
          <w:lang w:eastAsia="zh-CN"/>
        </w:rPr>
        <w:t>高晓成</w:t>
      </w:r>
      <w:r>
        <w:rPr>
          <w:rFonts w:hint="eastAsia" w:ascii="仿宋" w:hAnsi="仿宋" w:eastAsia="仿宋" w:cs="宋体"/>
          <w:kern w:val="1"/>
          <w:sz w:val="32"/>
          <w:szCs w:val="32"/>
        </w:rPr>
        <w:t>；</w:t>
      </w:r>
      <w:r>
        <w:rPr>
          <w:rFonts w:ascii="仿宋" w:hAnsi="仿宋" w:eastAsia="仿宋" w:cs="宋体"/>
          <w:kern w:val="1"/>
          <w:sz w:val="32"/>
          <w:szCs w:val="32"/>
        </w:rPr>
        <w:t xml:space="preserve">      </w:t>
      </w:r>
      <w:r>
        <w:rPr>
          <w:rFonts w:hint="eastAsia" w:ascii="仿宋" w:hAnsi="仿宋" w:eastAsia="仿宋" w:cs="宋体"/>
          <w:kern w:val="1"/>
          <w:sz w:val="32"/>
          <w:szCs w:val="32"/>
        </w:rPr>
        <w:t xml:space="preserve">           </w:t>
      </w:r>
      <w:r>
        <w:rPr>
          <w:rFonts w:ascii="仿宋" w:hAnsi="仿宋" w:eastAsia="仿宋" w:cs="宋体"/>
          <w:kern w:val="1"/>
          <w:sz w:val="32"/>
          <w:szCs w:val="32"/>
        </w:rPr>
        <w:t xml:space="preserve">                       </w:t>
      </w:r>
    </w:p>
    <w:p>
      <w:pPr>
        <w:spacing w:line="500" w:lineRule="exact"/>
        <w:ind w:left="140" w:hanging="140"/>
        <w:rPr>
          <w:rFonts w:ascii="仿宋" w:hAnsi="仿宋" w:eastAsia="仿宋" w:cs="Mongolian Baiti"/>
          <w:sz w:val="32"/>
          <w:szCs w:val="32"/>
        </w:rPr>
      </w:pPr>
      <w:r>
        <w:rPr>
          <w:rFonts w:hint="eastAsia" w:ascii="仿宋" w:hAnsi="仿宋" w:eastAsia="仿宋" w:cs="宋体"/>
          <w:kern w:val="1"/>
          <w:sz w:val="32"/>
          <w:szCs w:val="32"/>
        </w:rPr>
        <w:t>身份证号码：</w:t>
      </w:r>
      <w:r>
        <w:rPr>
          <w:rFonts w:hint="eastAsia" w:ascii="仿宋" w:hAnsi="仿宋" w:eastAsia="仿宋" w:cs="仿宋"/>
          <w:kern w:val="1"/>
          <w:sz w:val="32"/>
          <w:szCs w:val="32"/>
          <w:u w:val="none"/>
          <w:lang w:val="en-US" w:eastAsia="zh-CN"/>
        </w:rPr>
        <w:t>23011919******</w:t>
      </w:r>
      <w:bookmarkStart w:id="0" w:name="_GoBack"/>
      <w:bookmarkEnd w:id="0"/>
      <w:r>
        <w:rPr>
          <w:rFonts w:hint="eastAsia" w:ascii="仿宋" w:hAnsi="仿宋" w:eastAsia="仿宋" w:cs="仿宋"/>
          <w:kern w:val="1"/>
          <w:sz w:val="32"/>
          <w:szCs w:val="32"/>
          <w:u w:val="none"/>
          <w:lang w:val="en-US" w:eastAsia="zh-CN"/>
        </w:rPr>
        <w:t>4312</w:t>
      </w:r>
      <w:r>
        <w:rPr>
          <w:rFonts w:hint="eastAsia" w:ascii="仿宋" w:hAnsi="仿宋" w:eastAsia="仿宋" w:cs="宋体"/>
          <w:kern w:val="1"/>
          <w:sz w:val="32"/>
          <w:szCs w:val="32"/>
        </w:rPr>
        <w:t>。</w:t>
      </w:r>
      <w:r>
        <w:rPr>
          <w:rFonts w:ascii="仿宋" w:hAnsi="仿宋" w:eastAsia="仿宋" w:cs="宋体"/>
          <w:kern w:val="1"/>
          <w:sz w:val="32"/>
          <w:szCs w:val="32"/>
        </w:rPr>
        <w:t xml:space="preserve"> </w:t>
      </w:r>
      <w:r>
        <w:rPr>
          <w:rFonts w:ascii="仿宋" w:hAnsi="仿宋" w:eastAsia="仿宋" w:cs="Mongolian Baiti"/>
          <w:kern w:val="1"/>
          <w:sz w:val="32"/>
          <w:szCs w:val="32"/>
        </w:rPr>
        <w:t xml:space="preserve">                                                                      </w:t>
      </w:r>
      <w:r>
        <w:rPr>
          <w:rFonts w:hint="eastAsia" w:ascii="仿宋" w:hAnsi="仿宋" w:eastAsia="仿宋" w:cs="Mongolian Baiti"/>
          <w:kern w:val="1"/>
          <w:sz w:val="32"/>
          <w:szCs w:val="32"/>
        </w:rPr>
        <w:t xml:space="preserve">        </w:t>
      </w:r>
      <w:r>
        <w:rPr>
          <w:rFonts w:ascii="仿宋" w:hAnsi="仿宋" w:eastAsia="仿宋" w:cs="Mongolian Baiti"/>
          <w:kern w:val="1"/>
          <w:sz w:val="32"/>
          <w:szCs w:val="32"/>
        </w:rPr>
        <w:t xml:space="preserve"> </w:t>
      </w:r>
    </w:p>
    <w:p>
      <w:pPr>
        <w:ind w:right="233" w:rightChars="111" w:firstLine="640" w:firstLineChars="200"/>
        <w:jc w:val="left"/>
        <w:rPr>
          <w:rFonts w:hint="eastAsia" w:ascii="仿宋" w:hAnsi="仿宋" w:eastAsia="仿宋" w:cs="仿宋"/>
          <w:bCs/>
          <w:sz w:val="32"/>
          <w:szCs w:val="32"/>
        </w:rPr>
      </w:pPr>
      <w:r>
        <w:rPr>
          <w:rFonts w:hint="eastAsia" w:ascii="仿宋" w:hAnsi="仿宋" w:eastAsia="仿宋" w:cs="仿宋"/>
          <w:bCs/>
          <w:sz w:val="32"/>
          <w:szCs w:val="32"/>
        </w:rPr>
        <w:t>2023年</w:t>
      </w:r>
      <w:r>
        <w:rPr>
          <w:rFonts w:hint="eastAsia" w:ascii="仿宋" w:hAnsi="仿宋" w:eastAsia="仿宋" w:cs="仿宋"/>
          <w:bCs/>
          <w:sz w:val="32"/>
          <w:szCs w:val="32"/>
          <w:lang w:val="en-US" w:eastAsia="zh-CN"/>
        </w:rPr>
        <w:t>8</w:t>
      </w:r>
      <w:r>
        <w:rPr>
          <w:rFonts w:hint="eastAsia" w:ascii="仿宋" w:hAnsi="仿宋" w:eastAsia="仿宋" w:cs="仿宋"/>
          <w:bCs/>
          <w:sz w:val="32"/>
          <w:szCs w:val="32"/>
        </w:rPr>
        <w:t>月</w:t>
      </w:r>
      <w:r>
        <w:rPr>
          <w:rFonts w:hint="eastAsia" w:ascii="仿宋" w:hAnsi="仿宋" w:eastAsia="仿宋" w:cs="仿宋"/>
          <w:bCs/>
          <w:sz w:val="32"/>
          <w:szCs w:val="32"/>
          <w:lang w:val="en-US" w:eastAsia="zh-CN"/>
        </w:rPr>
        <w:t>10</w:t>
      </w:r>
      <w:r>
        <w:rPr>
          <w:rFonts w:hint="eastAsia" w:ascii="仿宋" w:hAnsi="仿宋" w:eastAsia="仿宋" w:cs="仿宋"/>
          <w:bCs/>
          <w:sz w:val="32"/>
          <w:szCs w:val="32"/>
        </w:rPr>
        <w:t>日，本局由“国家食品安全抽样检验信息系统”平台接收到检验报告</w:t>
      </w:r>
      <w:r>
        <w:rPr>
          <w:rFonts w:hint="eastAsia" w:ascii="仿宋" w:hAnsi="仿宋" w:eastAsia="仿宋" w:cs="仿宋"/>
          <w:bCs/>
          <w:sz w:val="32"/>
          <w:szCs w:val="32"/>
          <w:lang w:eastAsia="zh-CN"/>
        </w:rPr>
        <w:t>（№:</w:t>
      </w:r>
      <w:r>
        <w:rPr>
          <w:rFonts w:hint="eastAsia" w:ascii="仿宋" w:hAnsi="仿宋" w:eastAsia="仿宋" w:cs="仿宋"/>
          <w:bCs/>
          <w:sz w:val="32"/>
          <w:szCs w:val="32"/>
          <w:lang w:val="en-US" w:eastAsia="zh-CN"/>
        </w:rPr>
        <w:t>CG2023071735</w:t>
      </w:r>
      <w:r>
        <w:rPr>
          <w:rFonts w:hint="eastAsia" w:ascii="仿宋" w:hAnsi="仿宋" w:eastAsia="仿宋" w:cs="仿宋"/>
          <w:bCs/>
          <w:sz w:val="32"/>
          <w:szCs w:val="32"/>
        </w:rPr>
        <w:t>）后，指派</w:t>
      </w:r>
      <w:r>
        <w:rPr>
          <w:rFonts w:hint="eastAsia" w:ascii="仿宋" w:hAnsi="仿宋" w:eastAsia="仿宋" w:cs="仿宋"/>
          <w:bCs/>
          <w:sz w:val="32"/>
          <w:szCs w:val="32"/>
          <w:lang w:eastAsia="zh-CN"/>
        </w:rPr>
        <w:t>两名</w:t>
      </w:r>
      <w:r>
        <w:rPr>
          <w:rFonts w:hint="eastAsia" w:ascii="仿宋" w:hAnsi="仿宋" w:eastAsia="仿宋" w:cs="仿宋"/>
          <w:bCs/>
          <w:sz w:val="32"/>
          <w:szCs w:val="32"/>
        </w:rPr>
        <w:t>执法人员为当事人送达了上述检验报告并对其经营场所进行了现场检查，经营者</w:t>
      </w:r>
      <w:r>
        <w:rPr>
          <w:rFonts w:hint="eastAsia" w:ascii="仿宋" w:hAnsi="仿宋" w:eastAsia="仿宋" w:cs="仿宋"/>
          <w:bCs/>
          <w:sz w:val="32"/>
          <w:szCs w:val="32"/>
          <w:lang w:eastAsia="zh-CN"/>
        </w:rPr>
        <w:t>高晓成</w:t>
      </w:r>
      <w:r>
        <w:rPr>
          <w:rFonts w:hint="eastAsia" w:ascii="仿宋" w:hAnsi="仿宋" w:eastAsia="仿宋" w:cs="仿宋"/>
          <w:bCs/>
          <w:sz w:val="32"/>
          <w:szCs w:val="32"/>
        </w:rPr>
        <w:t>签收了上述检验报告并提供了当事人营业执照等相关的资料。本局告知当事人如果对上述检验报告及其检验结论有异议，可在收到</w:t>
      </w:r>
      <w:r>
        <w:rPr>
          <w:rFonts w:hint="eastAsia" w:ascii="仿宋" w:hAnsi="仿宋" w:eastAsia="仿宋" w:cs="仿宋"/>
          <w:bCs/>
          <w:sz w:val="32"/>
          <w:szCs w:val="32"/>
          <w:lang w:eastAsia="zh-CN"/>
        </w:rPr>
        <w:t>该检验报告</w:t>
      </w:r>
      <w:r>
        <w:rPr>
          <w:rFonts w:hint="eastAsia" w:ascii="仿宋" w:hAnsi="仿宋" w:eastAsia="仿宋" w:cs="仿宋"/>
          <w:bCs/>
          <w:sz w:val="32"/>
          <w:szCs w:val="32"/>
        </w:rPr>
        <w:t>之日起7个工作日内，向本局提出书面复检申请，并提交相关证明材料；逾期未提出复检的，视为认可检验结论；逾期未提出异议的或者未提供有效证明材料的，视同无异议。当事人对上述检验报告及其检验结论予以认可，在规定的期限内未提出异议以及复检申请。为进一步调查案情，经分局部门负责人批准，本局于2023年</w:t>
      </w:r>
      <w:r>
        <w:rPr>
          <w:rFonts w:hint="eastAsia" w:ascii="仿宋" w:hAnsi="仿宋" w:eastAsia="仿宋" w:cs="仿宋"/>
          <w:bCs/>
          <w:sz w:val="32"/>
          <w:szCs w:val="32"/>
          <w:lang w:val="en-US" w:eastAsia="zh-CN"/>
        </w:rPr>
        <w:t>8</w:t>
      </w:r>
      <w:r>
        <w:rPr>
          <w:rFonts w:hint="eastAsia" w:ascii="仿宋" w:hAnsi="仿宋" w:eastAsia="仿宋" w:cs="仿宋"/>
          <w:bCs/>
          <w:sz w:val="32"/>
          <w:szCs w:val="32"/>
        </w:rPr>
        <w:t>月</w:t>
      </w:r>
      <w:r>
        <w:rPr>
          <w:rFonts w:hint="eastAsia" w:ascii="仿宋" w:hAnsi="仿宋" w:eastAsia="仿宋" w:cs="仿宋"/>
          <w:bCs/>
          <w:sz w:val="32"/>
          <w:szCs w:val="32"/>
          <w:lang w:val="en-US" w:eastAsia="zh-CN"/>
        </w:rPr>
        <w:t>22</w:t>
      </w:r>
      <w:r>
        <w:rPr>
          <w:rFonts w:hint="eastAsia" w:ascii="仿宋" w:hAnsi="仿宋" w:eastAsia="仿宋" w:cs="仿宋"/>
          <w:bCs/>
          <w:sz w:val="32"/>
          <w:szCs w:val="32"/>
        </w:rPr>
        <w:t>日予以立案调查。</w:t>
      </w:r>
    </w:p>
    <w:p>
      <w:pPr>
        <w:ind w:left="-239" w:leftChars="-114" w:right="42" w:rightChars="20" w:firstLine="640" w:firstLineChars="200"/>
        <w:jc w:val="left"/>
        <w:rPr>
          <w:rFonts w:hint="eastAsia" w:ascii="仿宋" w:hAnsi="仿宋" w:eastAsia="仿宋" w:cs="仿宋"/>
          <w:bCs/>
          <w:sz w:val="32"/>
          <w:szCs w:val="32"/>
          <w:u w:val="none"/>
          <w:lang w:val="en-US" w:eastAsia="zh-CN"/>
        </w:rPr>
      </w:pPr>
      <w:r>
        <w:rPr>
          <w:rFonts w:hint="eastAsia" w:ascii="仿宋" w:hAnsi="仿宋" w:eastAsia="仿宋" w:cs="仿宋"/>
          <w:bCs/>
          <w:sz w:val="32"/>
          <w:szCs w:val="32"/>
        </w:rPr>
        <w:t>经查：</w:t>
      </w:r>
      <w:r>
        <w:rPr>
          <w:rFonts w:hint="eastAsia" w:ascii="仿宋" w:hAnsi="仿宋" w:eastAsia="仿宋" w:cs="仿宋"/>
          <w:kern w:val="1"/>
          <w:sz w:val="32"/>
          <w:szCs w:val="32"/>
          <w:u w:val="none"/>
          <w:lang w:eastAsia="zh-CN"/>
        </w:rPr>
        <w:t>2023年7月23日，本局委托河北晨光检测技术服务有限公司对当事人经营的“油条”（食品名称：油条，商标：/，规格型号：计量称重，加工日期：2023-07-23，被抽样单位名称：秦皇岛经济技术开发区高厨快餐店，标称生产者名称：/，联系电话：5898989，抽样基数：3kg，样品数量：1kg。）进行食品安全监督抽检，2023年8月9日出具了检验报告（№:CG2023071735）；检验项目：铝的残留量(干样品,以 Al 计)，mg/kg，标准指标：≤100，实测值：362，单项判定：不合格，检验依据：GB 5009.182-2017(第二法)；检验结论为：经抽样检验，铝的残留量(干样品,以 Al 计)项目不符合 GB 2760-2014《食品安全国家标准 食品添加剂使用标准》要求，检验结论为不合格。</w:t>
      </w:r>
      <w:r>
        <w:rPr>
          <w:rFonts w:hint="eastAsia" w:ascii="仿宋" w:hAnsi="仿宋" w:eastAsia="仿宋" w:cs="仿宋"/>
          <w:bCs/>
          <w:sz w:val="32"/>
          <w:szCs w:val="32"/>
          <w:u w:val="none"/>
          <w:lang w:val="en-US" w:eastAsia="zh-CN"/>
        </w:rPr>
        <w:t xml:space="preserve">                                </w:t>
      </w:r>
    </w:p>
    <w:p>
      <w:pPr>
        <w:ind w:right="233" w:rightChars="111" w:firstLine="640" w:firstLineChars="200"/>
        <w:jc w:val="left"/>
        <w:rPr>
          <w:rFonts w:hint="eastAsia" w:ascii="仿宋" w:hAnsi="仿宋" w:eastAsia="仿宋" w:cs="仿宋"/>
          <w:bCs/>
          <w:sz w:val="32"/>
          <w:szCs w:val="32"/>
          <w:u w:val="none"/>
        </w:rPr>
      </w:pPr>
      <w:r>
        <w:rPr>
          <w:rFonts w:hint="eastAsia" w:ascii="仿宋" w:hAnsi="仿宋" w:eastAsia="仿宋" w:cs="仿宋"/>
          <w:bCs/>
          <w:sz w:val="32"/>
          <w:szCs w:val="32"/>
          <w:u w:val="none"/>
        </w:rPr>
        <w:t>2023年7月23日，当事人由秦皇岛市海港区美岭小区</w:t>
      </w:r>
      <w:r>
        <w:rPr>
          <w:rFonts w:hint="eastAsia" w:ascii="仿宋" w:hAnsi="仿宋" w:eastAsia="仿宋" w:cs="仿宋"/>
          <w:bCs/>
          <w:sz w:val="32"/>
          <w:szCs w:val="32"/>
          <w:u w:val="none"/>
          <w:lang w:eastAsia="zh-CN"/>
        </w:rPr>
        <w:t>外</w:t>
      </w:r>
      <w:r>
        <w:rPr>
          <w:rFonts w:hint="eastAsia" w:ascii="仿宋" w:hAnsi="仿宋" w:eastAsia="仿宋" w:cs="仿宋"/>
          <w:bCs/>
          <w:sz w:val="32"/>
          <w:szCs w:val="32"/>
          <w:u w:val="none"/>
        </w:rPr>
        <w:t>油条加工销售点采购了加工“油条”所使用的</w:t>
      </w:r>
      <w:r>
        <w:rPr>
          <w:rFonts w:hint="eastAsia" w:ascii="仿宋" w:hAnsi="仿宋" w:eastAsia="仿宋" w:cs="仿宋"/>
          <w:bCs/>
          <w:sz w:val="32"/>
          <w:szCs w:val="32"/>
          <w:u w:val="none"/>
          <w:lang w:eastAsia="zh-CN"/>
        </w:rPr>
        <w:t>原料“</w:t>
      </w:r>
      <w:r>
        <w:rPr>
          <w:rFonts w:hint="eastAsia" w:ascii="仿宋" w:hAnsi="仿宋" w:eastAsia="仿宋" w:cs="仿宋"/>
          <w:bCs/>
          <w:sz w:val="32"/>
          <w:szCs w:val="32"/>
          <w:u w:val="none"/>
        </w:rPr>
        <w:t>面团</w:t>
      </w:r>
      <w:r>
        <w:rPr>
          <w:rFonts w:hint="eastAsia" w:ascii="仿宋" w:hAnsi="仿宋" w:eastAsia="仿宋" w:cs="仿宋"/>
          <w:bCs/>
          <w:sz w:val="32"/>
          <w:szCs w:val="32"/>
          <w:u w:val="none"/>
          <w:lang w:eastAsia="zh-CN"/>
        </w:rPr>
        <w:t>”</w:t>
      </w:r>
      <w:r>
        <w:rPr>
          <w:rFonts w:hint="eastAsia" w:ascii="仿宋" w:hAnsi="仿宋" w:eastAsia="仿宋" w:cs="仿宋"/>
          <w:bCs/>
          <w:sz w:val="32"/>
          <w:szCs w:val="32"/>
          <w:u w:val="none"/>
        </w:rPr>
        <w:t>数量：3公斤，进货价格：6元/公斤；并于当日使用所采购的上述面团加工成“油条”数量：3公斤，并对外销售；销售价格：12元/公斤。2023年7月23日，当事人用于食品安全监督抽检销售该批次“油条”数量：1公斤；剩余2公斤“油条”于当日全部售出，无库存</w:t>
      </w:r>
      <w:r>
        <w:rPr>
          <w:rFonts w:hint="eastAsia" w:ascii="仿宋" w:hAnsi="仿宋" w:eastAsia="仿宋" w:cs="仿宋"/>
          <w:bCs/>
          <w:sz w:val="32"/>
          <w:szCs w:val="32"/>
          <w:u w:val="none"/>
          <w:lang w:eastAsia="zh-CN"/>
        </w:rPr>
        <w:t>。</w:t>
      </w:r>
      <w:r>
        <w:rPr>
          <w:rFonts w:hint="eastAsia" w:ascii="仿宋" w:hAnsi="仿宋" w:eastAsia="仿宋" w:cs="仿宋"/>
          <w:bCs/>
          <w:sz w:val="32"/>
          <w:szCs w:val="32"/>
          <w:u w:val="none"/>
        </w:rPr>
        <w:t>当事人将上述食品面向社会消费者销售，未对市场主体进行销售。2023年8月10日，当事人在经营场所</w:t>
      </w:r>
      <w:r>
        <w:rPr>
          <w:rFonts w:hint="eastAsia" w:ascii="仿宋" w:hAnsi="仿宋" w:eastAsia="仿宋" w:cs="仿宋"/>
          <w:bCs/>
          <w:sz w:val="32"/>
          <w:szCs w:val="32"/>
          <w:u w:val="none"/>
          <w:lang w:eastAsia="zh-CN"/>
        </w:rPr>
        <w:t>对所售出的上述“油条”</w:t>
      </w:r>
      <w:r>
        <w:rPr>
          <w:rFonts w:hint="eastAsia" w:ascii="仿宋" w:hAnsi="仿宋" w:eastAsia="仿宋" w:cs="仿宋"/>
          <w:bCs/>
          <w:sz w:val="32"/>
          <w:szCs w:val="32"/>
          <w:u w:val="none"/>
        </w:rPr>
        <w:t xml:space="preserve">进行了食品公告召回，由于销售时间过长等原因，当事人所售出的上述食品未能召回。经计算，当事人违法经营的该批次“油条”货值金额：36元，违法所得：18元。当事人无法提供所经营的该批次“油条”的检验合格证明等相关的证明资料。  </w:t>
      </w:r>
    </w:p>
    <w:p>
      <w:pPr>
        <w:ind w:right="233" w:rightChars="111" w:firstLine="640" w:firstLineChars="200"/>
        <w:jc w:val="left"/>
        <w:rPr>
          <w:rFonts w:hint="eastAsia" w:ascii="仿宋" w:hAnsi="仿宋" w:eastAsia="仿宋" w:cs="仿宋"/>
          <w:bCs/>
          <w:sz w:val="32"/>
          <w:szCs w:val="32"/>
          <w:u w:val="none"/>
        </w:rPr>
      </w:pPr>
      <w:r>
        <w:rPr>
          <w:rFonts w:hint="eastAsia" w:ascii="仿宋" w:hAnsi="仿宋" w:eastAsia="仿宋" w:cs="仿宋"/>
          <w:bCs/>
          <w:sz w:val="32"/>
          <w:szCs w:val="32"/>
          <w:u w:val="none"/>
        </w:rPr>
        <w:t>2023 年 8 月 10 日，当事人在</w:t>
      </w:r>
      <w:r>
        <w:rPr>
          <w:rFonts w:hint="eastAsia" w:ascii="仿宋" w:hAnsi="仿宋" w:eastAsia="仿宋" w:cs="仿宋"/>
          <w:bCs/>
          <w:sz w:val="32"/>
          <w:szCs w:val="32"/>
          <w:u w:val="none"/>
          <w:lang w:eastAsia="zh-CN"/>
        </w:rPr>
        <w:t>采购</w:t>
      </w:r>
      <w:r>
        <w:rPr>
          <w:rFonts w:hint="eastAsia" w:ascii="仿宋" w:hAnsi="仿宋" w:eastAsia="仿宋" w:cs="仿宋"/>
          <w:bCs/>
          <w:sz w:val="32"/>
          <w:szCs w:val="32"/>
          <w:u w:val="none"/>
        </w:rPr>
        <w:t>该批次“油条”所使用的</w:t>
      </w:r>
      <w:r>
        <w:rPr>
          <w:rFonts w:hint="eastAsia" w:ascii="仿宋" w:hAnsi="仿宋" w:eastAsia="仿宋" w:cs="仿宋"/>
          <w:bCs/>
          <w:sz w:val="32"/>
          <w:szCs w:val="32"/>
          <w:u w:val="none"/>
          <w:lang w:eastAsia="zh-CN"/>
        </w:rPr>
        <w:t>原料“</w:t>
      </w:r>
      <w:r>
        <w:rPr>
          <w:rFonts w:hint="eastAsia" w:ascii="仿宋" w:hAnsi="仿宋" w:eastAsia="仿宋" w:cs="仿宋"/>
          <w:bCs/>
          <w:sz w:val="32"/>
          <w:szCs w:val="32"/>
          <w:u w:val="none"/>
        </w:rPr>
        <w:t>面团</w:t>
      </w:r>
      <w:r>
        <w:rPr>
          <w:rFonts w:hint="eastAsia" w:ascii="仿宋" w:hAnsi="仿宋" w:eastAsia="仿宋" w:cs="仿宋"/>
          <w:bCs/>
          <w:sz w:val="32"/>
          <w:szCs w:val="32"/>
          <w:u w:val="none"/>
          <w:lang w:eastAsia="zh-CN"/>
        </w:rPr>
        <w:t>”</w:t>
      </w:r>
      <w:r>
        <w:rPr>
          <w:rFonts w:hint="eastAsia" w:ascii="仿宋" w:hAnsi="仿宋" w:eastAsia="仿宋" w:cs="仿宋"/>
          <w:bCs/>
          <w:sz w:val="32"/>
          <w:szCs w:val="32"/>
          <w:u w:val="none"/>
        </w:rPr>
        <w:t>时，未按照规定查验供货者许可证以及检验合格证明等相关文件，未能提供上述证明资料。鉴于当事人的上述</w:t>
      </w:r>
      <w:r>
        <w:rPr>
          <w:rFonts w:hint="eastAsia" w:ascii="仿宋" w:hAnsi="仿宋" w:eastAsia="仿宋" w:cs="仿宋"/>
          <w:bCs/>
          <w:sz w:val="32"/>
          <w:szCs w:val="32"/>
          <w:u w:val="none"/>
          <w:lang w:eastAsia="zh-CN"/>
        </w:rPr>
        <w:t>行为</w:t>
      </w:r>
      <w:r>
        <w:rPr>
          <w:rFonts w:hint="eastAsia" w:ascii="仿宋" w:hAnsi="仿宋" w:eastAsia="仿宋" w:cs="仿宋"/>
          <w:bCs/>
          <w:sz w:val="32"/>
          <w:szCs w:val="32"/>
          <w:u w:val="none"/>
        </w:rPr>
        <w:t xml:space="preserve">， 本局向当事人下达了《责令改正通知书》（秦市监责改〔 2023〕执87号）、《当场行政处罚决定书》（秦市监当罚〔 2023 〕执28号）；责令当事人在2023年8月15日前改正，要求当事人采购食品时，查验供货者的许可证和食品出厂检验合格证或者其他合格证明；并给予当事人警告的行政处罚。2023年8月11日，当事人制定并向本局提交了《整改报告》，对开展经营活动中存在的上述问题制定了整改措施。当事人在开展经营活动中，未建立经营账簿，未保留销售凭证等相关的证明资料。在调查期间未对当事人采取行政强制措施。以上事实清楚、证据充分。 </w:t>
      </w:r>
    </w:p>
    <w:p>
      <w:pPr>
        <w:ind w:right="233" w:rightChars="111" w:firstLine="640" w:firstLineChars="200"/>
        <w:jc w:val="left"/>
        <w:rPr>
          <w:rFonts w:hint="eastAsia" w:ascii="仿宋" w:hAnsi="仿宋" w:eastAsia="仿宋" w:cs="仿宋"/>
          <w:bCs/>
          <w:sz w:val="32"/>
          <w:szCs w:val="32"/>
          <w:u w:val="none"/>
        </w:rPr>
      </w:pPr>
      <w:r>
        <w:rPr>
          <w:rFonts w:hint="eastAsia" w:ascii="仿宋" w:hAnsi="仿宋" w:eastAsia="仿宋" w:cs="仿宋"/>
          <w:bCs/>
          <w:sz w:val="32"/>
          <w:szCs w:val="32"/>
          <w:u w:val="none"/>
        </w:rPr>
        <w:t>上述事实，主要有以下证据证明：</w:t>
      </w:r>
    </w:p>
    <w:p>
      <w:pPr>
        <w:ind w:right="233" w:rightChars="111"/>
        <w:jc w:val="left"/>
        <w:rPr>
          <w:rFonts w:hint="eastAsia" w:ascii="仿宋" w:hAnsi="仿宋" w:eastAsia="仿宋" w:cs="仿宋"/>
          <w:bCs/>
          <w:sz w:val="32"/>
          <w:szCs w:val="32"/>
          <w:u w:val="none"/>
        </w:rPr>
      </w:pPr>
      <w:r>
        <w:rPr>
          <w:rFonts w:hint="eastAsia" w:ascii="仿宋" w:hAnsi="仿宋" w:eastAsia="仿宋" w:cs="仿宋"/>
          <w:bCs/>
          <w:sz w:val="32"/>
          <w:szCs w:val="32"/>
          <w:u w:val="none"/>
        </w:rPr>
        <w:t xml:space="preserve">1.当事人经营者高晓成签字盖章确认的当事人营业执照、食品经营许可证、高晓成身份证复印件各一份；证明了当事人的基本信息以及经营者自然人身份信息等相关事项。                                           </w:t>
      </w:r>
    </w:p>
    <w:p>
      <w:pPr>
        <w:ind w:right="233" w:rightChars="111"/>
        <w:jc w:val="left"/>
        <w:rPr>
          <w:rFonts w:hint="eastAsia" w:ascii="仿宋" w:hAnsi="仿宋" w:eastAsia="仿宋" w:cs="仿宋"/>
          <w:bCs/>
          <w:sz w:val="32"/>
          <w:szCs w:val="32"/>
          <w:u w:val="none"/>
        </w:rPr>
      </w:pPr>
      <w:r>
        <w:rPr>
          <w:rFonts w:hint="eastAsia" w:ascii="仿宋" w:hAnsi="仿宋" w:eastAsia="仿宋" w:cs="仿宋"/>
          <w:bCs/>
          <w:sz w:val="32"/>
          <w:szCs w:val="32"/>
          <w:u w:val="none"/>
        </w:rPr>
        <w:t xml:space="preserve">2.对当事人经营场所现场笔录一份；现场检查照片打印件七份；对经营者高晓成询问笔录一份；当事人食品召回公告一份；证明了当事人采购使用不符合食品安全标准的食品原料的违法事实、违法经营食品货值金额、违法所得等相关事项。                                                </w:t>
      </w:r>
    </w:p>
    <w:p>
      <w:pPr>
        <w:ind w:right="233" w:rightChars="111"/>
        <w:jc w:val="left"/>
        <w:rPr>
          <w:rFonts w:hint="eastAsia" w:ascii="仿宋" w:hAnsi="仿宋" w:eastAsia="仿宋" w:cs="仿宋"/>
          <w:bCs/>
          <w:sz w:val="32"/>
          <w:szCs w:val="32"/>
          <w:u w:val="none"/>
        </w:rPr>
      </w:pPr>
      <w:r>
        <w:rPr>
          <w:rFonts w:hint="eastAsia" w:ascii="仿宋" w:hAnsi="仿宋" w:eastAsia="仿宋" w:cs="仿宋"/>
          <w:bCs/>
          <w:sz w:val="32"/>
          <w:szCs w:val="32"/>
          <w:u w:val="none"/>
        </w:rPr>
        <w:t xml:space="preserve">3.对当事人下达的国家食品安全抽样检验告知书、食品安全抽样检验抽样单（非网络）、检验报告各一份；证明了对当事人所经营的食品进行食品安全监督抽检以及该批次“油条”为不符合食品安全标准的食品的真实性等相关事项。                   </w:t>
      </w:r>
    </w:p>
    <w:p>
      <w:pPr>
        <w:ind w:right="233" w:rightChars="111"/>
        <w:jc w:val="left"/>
        <w:rPr>
          <w:rFonts w:hint="eastAsia" w:ascii="仿宋" w:hAnsi="仿宋" w:eastAsia="仿宋" w:cs="仿宋"/>
          <w:bCs/>
          <w:sz w:val="32"/>
          <w:szCs w:val="32"/>
          <w:u w:val="none"/>
        </w:rPr>
      </w:pPr>
      <w:r>
        <w:rPr>
          <w:rFonts w:hint="eastAsia" w:ascii="仿宋" w:hAnsi="仿宋" w:eastAsia="仿宋" w:cs="仿宋"/>
          <w:bCs/>
          <w:sz w:val="32"/>
          <w:szCs w:val="32"/>
          <w:u w:val="none"/>
        </w:rPr>
        <w:t xml:space="preserve">4. 对当事人下达的《责令改正通知书》、《当场行政处罚决定书》各一份；当事人整改报告一份；证明了本局对当事人在开展经营活动中进货时未查验许可证和相关证明文件的违法行为责令限期改正、给予警告以及当事人进行改正等相关事项。                                          </w:t>
      </w:r>
    </w:p>
    <w:p>
      <w:pPr>
        <w:ind w:right="233" w:rightChars="111" w:firstLine="640" w:firstLineChars="200"/>
        <w:jc w:val="left"/>
        <w:rPr>
          <w:rFonts w:hint="eastAsia" w:ascii="仿宋" w:hAnsi="仿宋" w:eastAsia="仿宋" w:cs="仿宋"/>
          <w:bCs/>
          <w:sz w:val="32"/>
          <w:szCs w:val="32"/>
          <w:u w:val="none"/>
        </w:rPr>
      </w:pPr>
      <w:r>
        <w:rPr>
          <w:rFonts w:hint="eastAsia" w:ascii="仿宋" w:hAnsi="仿宋" w:eastAsia="仿宋" w:cs="仿宋"/>
          <w:bCs/>
          <w:sz w:val="32"/>
          <w:szCs w:val="32"/>
          <w:u w:val="none"/>
        </w:rPr>
        <w:t>202</w:t>
      </w:r>
      <w:r>
        <w:rPr>
          <w:rFonts w:hint="eastAsia" w:ascii="仿宋" w:hAnsi="仿宋" w:eastAsia="仿宋" w:cs="仿宋"/>
          <w:bCs/>
          <w:sz w:val="32"/>
          <w:szCs w:val="32"/>
          <w:u w:val="none"/>
          <w:lang w:val="en-US" w:eastAsia="zh-CN"/>
        </w:rPr>
        <w:t>3</w:t>
      </w:r>
      <w:r>
        <w:rPr>
          <w:rFonts w:hint="eastAsia" w:ascii="仿宋" w:hAnsi="仿宋" w:eastAsia="仿宋" w:cs="仿宋"/>
          <w:bCs/>
          <w:sz w:val="32"/>
          <w:szCs w:val="32"/>
          <w:u w:val="none"/>
        </w:rPr>
        <w:t>年</w:t>
      </w:r>
      <w:r>
        <w:rPr>
          <w:rFonts w:hint="eastAsia" w:ascii="仿宋" w:hAnsi="仿宋" w:eastAsia="仿宋" w:cs="仿宋"/>
          <w:bCs/>
          <w:sz w:val="32"/>
          <w:szCs w:val="32"/>
          <w:u w:val="none"/>
          <w:lang w:val="en-US" w:eastAsia="zh-CN"/>
        </w:rPr>
        <w:t>9</w:t>
      </w:r>
      <w:r>
        <w:rPr>
          <w:rFonts w:hint="eastAsia" w:ascii="仿宋" w:hAnsi="仿宋" w:eastAsia="仿宋" w:cs="仿宋"/>
          <w:bCs/>
          <w:sz w:val="32"/>
          <w:szCs w:val="32"/>
          <w:u w:val="none"/>
        </w:rPr>
        <w:t>月</w:t>
      </w:r>
      <w:r>
        <w:rPr>
          <w:rFonts w:hint="eastAsia" w:ascii="仿宋" w:hAnsi="仿宋" w:eastAsia="仿宋" w:cs="仿宋"/>
          <w:bCs/>
          <w:sz w:val="32"/>
          <w:szCs w:val="32"/>
          <w:u w:val="none"/>
          <w:lang w:val="en-US" w:eastAsia="zh-CN"/>
        </w:rPr>
        <w:t>22</w:t>
      </w:r>
      <w:r>
        <w:rPr>
          <w:rFonts w:hint="eastAsia" w:ascii="仿宋" w:hAnsi="仿宋" w:eastAsia="仿宋" w:cs="仿宋"/>
          <w:bCs/>
          <w:sz w:val="32"/>
          <w:szCs w:val="32"/>
          <w:u w:val="none"/>
        </w:rPr>
        <w:t>日</w:t>
      </w:r>
      <w:r>
        <w:rPr>
          <w:rFonts w:hint="eastAsia" w:ascii="仿宋" w:hAnsi="仿宋" w:eastAsia="仿宋" w:cs="仿宋"/>
          <w:bCs/>
          <w:sz w:val="32"/>
          <w:szCs w:val="32"/>
          <w:u w:val="none"/>
          <w:lang w:eastAsia="zh-CN"/>
        </w:rPr>
        <w:t>，本</w:t>
      </w:r>
      <w:r>
        <w:rPr>
          <w:rFonts w:hint="eastAsia" w:ascii="仿宋" w:hAnsi="仿宋" w:eastAsia="仿宋" w:cs="仿宋"/>
          <w:bCs/>
          <w:sz w:val="32"/>
          <w:szCs w:val="32"/>
          <w:u w:val="none"/>
        </w:rPr>
        <w:t>局向当事人送达了《行政处罚告知书》</w:t>
      </w:r>
      <w:r>
        <w:rPr>
          <w:rFonts w:hint="eastAsia" w:ascii="仿宋" w:hAnsi="仿宋" w:eastAsia="仿宋" w:cs="仿宋"/>
          <w:bCs/>
          <w:color w:val="auto"/>
          <w:sz w:val="32"/>
          <w:szCs w:val="32"/>
          <w:u w:val="none"/>
        </w:rPr>
        <w:t>（秦市监罚告[202</w:t>
      </w:r>
      <w:r>
        <w:rPr>
          <w:rFonts w:hint="eastAsia" w:ascii="仿宋" w:hAnsi="仿宋" w:eastAsia="仿宋" w:cs="仿宋"/>
          <w:bCs/>
          <w:color w:val="auto"/>
          <w:sz w:val="32"/>
          <w:szCs w:val="32"/>
          <w:u w:val="none"/>
          <w:lang w:val="en-US" w:eastAsia="zh-CN"/>
        </w:rPr>
        <w:t>3</w:t>
      </w:r>
      <w:r>
        <w:rPr>
          <w:rFonts w:hint="eastAsia" w:ascii="仿宋" w:hAnsi="仿宋" w:eastAsia="仿宋" w:cs="仿宋"/>
          <w:bCs/>
          <w:color w:val="auto"/>
          <w:sz w:val="32"/>
          <w:szCs w:val="32"/>
          <w:u w:val="none"/>
        </w:rPr>
        <w:t>]1</w:t>
      </w:r>
      <w:r>
        <w:rPr>
          <w:rFonts w:hint="eastAsia" w:ascii="仿宋" w:hAnsi="仿宋" w:eastAsia="仿宋" w:cs="仿宋"/>
          <w:bCs/>
          <w:color w:val="auto"/>
          <w:sz w:val="32"/>
          <w:szCs w:val="32"/>
          <w:u w:val="none"/>
          <w:lang w:val="en-US" w:eastAsia="zh-CN"/>
        </w:rPr>
        <w:t>108</w:t>
      </w:r>
      <w:r>
        <w:rPr>
          <w:rFonts w:hint="eastAsia" w:ascii="仿宋" w:hAnsi="仿宋" w:eastAsia="仿宋" w:cs="仿宋"/>
          <w:bCs/>
          <w:color w:val="auto"/>
          <w:sz w:val="32"/>
          <w:szCs w:val="32"/>
          <w:u w:val="none"/>
        </w:rPr>
        <w:t>号）</w:t>
      </w:r>
      <w:r>
        <w:rPr>
          <w:rFonts w:hint="eastAsia" w:ascii="仿宋" w:hAnsi="仿宋" w:eastAsia="仿宋" w:cs="仿宋"/>
          <w:bCs/>
          <w:sz w:val="32"/>
          <w:szCs w:val="32"/>
          <w:u w:val="none"/>
        </w:rPr>
        <w:t>，告知了本局拟作出行政处罚的内容及事实、理由、依据，当事人自收到该告知书之日起五个工作日内未行使陈述、申辩权，未要求听证。</w:t>
      </w:r>
    </w:p>
    <w:p>
      <w:pPr>
        <w:ind w:right="233" w:rightChars="111" w:firstLine="640" w:firstLineChars="200"/>
        <w:jc w:val="left"/>
        <w:rPr>
          <w:rFonts w:hint="eastAsia" w:ascii="仿宋" w:hAnsi="仿宋" w:eastAsia="仿宋" w:cs="仿宋"/>
          <w:bCs/>
          <w:sz w:val="32"/>
          <w:szCs w:val="32"/>
          <w:u w:val="none"/>
        </w:rPr>
      </w:pPr>
      <w:r>
        <w:rPr>
          <w:rFonts w:hint="eastAsia" w:ascii="仿宋" w:hAnsi="仿宋" w:eastAsia="仿宋" w:cs="仿宋"/>
          <w:bCs/>
          <w:sz w:val="32"/>
          <w:szCs w:val="32"/>
          <w:u w:val="none"/>
        </w:rPr>
        <w:t xml:space="preserve">本局认为，当事人的上述行为违反了《中华人民共和国食品安全法》第五十五条第一款：“餐饮服务提供者应当制定并实施原料控制要求，不得采购不符合食品安全标准的食品原料。倡导餐饮服务提供者公开加工过程，公示食品原料及其来源等信息。”的规定，属于采购使用不符合食品安全标准的食品原料的违法行为。                                                             </w:t>
      </w:r>
    </w:p>
    <w:p>
      <w:pPr>
        <w:ind w:right="233" w:rightChars="111" w:firstLine="640" w:firstLineChars="200"/>
        <w:jc w:val="left"/>
        <w:rPr>
          <w:rFonts w:hint="eastAsia" w:ascii="仿宋" w:hAnsi="仿宋" w:eastAsia="仿宋" w:cs="楷体_GB2312"/>
          <w:bCs/>
          <w:color w:val="000000"/>
          <w:sz w:val="32"/>
          <w:szCs w:val="32"/>
        </w:rPr>
      </w:pPr>
      <w:r>
        <w:rPr>
          <w:rFonts w:hint="eastAsia" w:ascii="仿宋" w:hAnsi="仿宋" w:eastAsia="仿宋" w:cs="楷体_GB2312"/>
          <w:bCs/>
          <w:color w:val="000000"/>
          <w:sz w:val="32"/>
          <w:szCs w:val="32"/>
        </w:rPr>
        <w:t>当事人采购使用不符合食品安全标准的食品原料的行为违反了《中华人民共和国食品安全法》第五十五条第一款的规定，依据《中华人民共和国食品安全法》第一百二十五条第一款第（四）项的规定，应予以行政处罚。鉴于当事人事后积极配合市场监督管理部门调查，如实陈述违法事实，并主动提供证据材料；依据《河北省市场监督管理系统行政处罚裁量权适用规则》第十五条第（二）项的规定，对当事人可以依法从轻行政处罚。</w:t>
      </w:r>
    </w:p>
    <w:p>
      <w:pPr>
        <w:ind w:right="233" w:rightChars="111" w:firstLine="640" w:firstLineChars="200"/>
        <w:jc w:val="left"/>
        <w:rPr>
          <w:rFonts w:hint="eastAsia" w:ascii="仿宋" w:hAnsi="仿宋" w:eastAsia="仿宋" w:cs="楷体_GB2312"/>
          <w:bCs/>
          <w:color w:val="000000"/>
          <w:sz w:val="32"/>
          <w:szCs w:val="32"/>
        </w:rPr>
      </w:pPr>
      <w:r>
        <w:rPr>
          <w:rFonts w:hint="eastAsia" w:ascii="仿宋" w:hAnsi="仿宋" w:eastAsia="仿宋" w:cs="楷体_GB2312"/>
          <w:bCs/>
          <w:color w:val="000000"/>
          <w:sz w:val="32"/>
          <w:szCs w:val="32"/>
        </w:rPr>
        <w:t xml:space="preserve">结合案件实际情况，经综合考量对当事人从轻行政处罚。                                                         </w:t>
      </w:r>
    </w:p>
    <w:p>
      <w:pPr>
        <w:ind w:right="233" w:rightChars="111" w:firstLine="640" w:firstLineChars="200"/>
        <w:jc w:val="left"/>
        <w:rPr>
          <w:rFonts w:hint="eastAsia" w:ascii="仿宋" w:hAnsi="仿宋" w:eastAsia="仿宋" w:cs="楷体_GB2312"/>
          <w:bCs/>
          <w:color w:val="000000"/>
          <w:sz w:val="32"/>
          <w:szCs w:val="32"/>
        </w:rPr>
      </w:pPr>
      <w:r>
        <w:rPr>
          <w:rFonts w:hint="eastAsia" w:ascii="仿宋" w:hAnsi="仿宋" w:eastAsia="仿宋" w:cs="楷体_GB2312"/>
          <w:bCs/>
          <w:color w:val="000000"/>
          <w:sz w:val="32"/>
          <w:szCs w:val="32"/>
        </w:rPr>
        <w:t xml:space="preserve">综上，对当事人采购使用不符合食品安全标准的食品原料的违法行为，依据《中华人民共和国食品安全法》第一百二十五条第一款第（四）项：“违反本法规定，有下列情形之一的，由县级以上人民政府食品安全监督管理部门没收违法所得和违法生产经营的食品、食品添加剂，并可以没收用于违法生产经营的工具、设备、原料等物品；违法生产经营的食品、食品添加剂货值金额不足一万元的，并处五千元以上五万元以下罚款；货值金额一万元以上的，并处货值金额五倍以上十倍以下罚款；情节严重的，责令停产停业，直至吊销许可证：（四）食品生产经营者采购或者使用不符合食品安全标准的食品原料、食品添加剂、食品相关产品。”的规定，参照《河北省市场监督管理系统行政处罚裁量权适用规则》第十五条第（二）项的规定，责令当事人改正上述违法行为，并决定处罚如下 ：                                             </w:t>
      </w:r>
    </w:p>
    <w:p>
      <w:pPr>
        <w:numPr>
          <w:ilvl w:val="0"/>
          <w:numId w:val="0"/>
        </w:numPr>
        <w:ind w:left="638" w:leftChars="304" w:right="233" w:rightChars="111" w:firstLine="0" w:firstLineChars="0"/>
        <w:jc w:val="left"/>
        <w:rPr>
          <w:rFonts w:hint="eastAsia" w:ascii="仿宋" w:hAnsi="仿宋" w:eastAsia="仿宋" w:cs="楷体_GB2312"/>
          <w:bCs/>
          <w:color w:val="000000"/>
          <w:sz w:val="32"/>
          <w:szCs w:val="32"/>
        </w:rPr>
      </w:pPr>
      <w:r>
        <w:rPr>
          <w:rFonts w:hint="eastAsia" w:ascii="仿宋" w:hAnsi="仿宋" w:eastAsia="仿宋" w:cs="楷体_GB2312"/>
          <w:bCs/>
          <w:color w:val="000000"/>
          <w:sz w:val="32"/>
          <w:szCs w:val="32"/>
        </w:rPr>
        <w:t xml:space="preserve">1、没收违法所得人民币壹拾捌元整（18元）；                                               2、罚款人民币伍仟伍佰元整（5500元）；                               </w:t>
      </w:r>
    </w:p>
    <w:p>
      <w:pPr>
        <w:numPr>
          <w:ilvl w:val="0"/>
          <w:numId w:val="0"/>
        </w:numPr>
        <w:ind w:right="233" w:rightChars="111"/>
        <w:jc w:val="left"/>
        <w:rPr>
          <w:rFonts w:hint="eastAsia" w:ascii="仿宋" w:hAnsi="仿宋" w:eastAsia="仿宋" w:cs="楷体_GB2312"/>
          <w:bCs/>
          <w:color w:val="000000"/>
          <w:sz w:val="32"/>
          <w:szCs w:val="32"/>
        </w:rPr>
      </w:pPr>
      <w:r>
        <w:rPr>
          <w:rFonts w:hint="eastAsia" w:ascii="仿宋" w:hAnsi="仿宋" w:eastAsia="仿宋" w:cs="楷体_GB2312"/>
          <w:bCs/>
          <w:color w:val="000000"/>
          <w:sz w:val="32"/>
          <w:szCs w:val="32"/>
        </w:rPr>
        <w:t xml:space="preserve">上述行政处罚合计：人民币伍仟伍佰壹拾捌元整（5518元）。                                                                                                                                               </w:t>
      </w:r>
    </w:p>
    <w:p>
      <w:pPr>
        <w:ind w:right="233" w:rightChars="111" w:firstLine="640" w:firstLineChars="200"/>
        <w:jc w:val="left"/>
        <w:rPr>
          <w:rFonts w:hint="eastAsia" w:ascii="仿宋" w:hAnsi="仿宋" w:eastAsia="仿宋" w:cs="楷体_GB2312"/>
          <w:bCs/>
          <w:color w:val="000000"/>
          <w:sz w:val="32"/>
          <w:szCs w:val="32"/>
        </w:rPr>
      </w:pPr>
      <w:r>
        <w:rPr>
          <w:rFonts w:hint="eastAsia" w:ascii="仿宋" w:hAnsi="仿宋" w:eastAsia="仿宋" w:cs="楷体_GB2312"/>
          <w:bCs/>
          <w:color w:val="000000"/>
          <w:sz w:val="32"/>
          <w:szCs w:val="32"/>
        </w:rPr>
        <w:t xml:space="preserve">当事人应当自收到本处罚决定书之日起十五日内，将罚没款缴至秦皇岛银行金财支行（账户名称：秦皇岛市财政局）；到期不缴纳罚款的，依据《中华人民共和国行政处罚法》第七十二条的规定，本局将每日按罚款数额的百分之三加处罚款，并依法申请人民法院强制执行。                                                                                                                                                           </w:t>
      </w:r>
    </w:p>
    <w:p>
      <w:pPr>
        <w:ind w:right="233" w:rightChars="111" w:firstLine="640" w:firstLineChars="200"/>
        <w:jc w:val="left"/>
        <w:rPr>
          <w:rFonts w:hint="eastAsia" w:ascii="仿宋" w:hAnsi="仿宋" w:eastAsia="仿宋" w:cs="楷体_GB2312"/>
          <w:bCs/>
          <w:color w:val="000000"/>
          <w:sz w:val="32"/>
          <w:szCs w:val="32"/>
        </w:rPr>
      </w:pPr>
      <w:r>
        <w:rPr>
          <w:rFonts w:hint="eastAsia" w:ascii="仿宋" w:hAnsi="仿宋" w:eastAsia="仿宋" w:cs="楷体_GB2312"/>
          <w:bCs/>
          <w:color w:val="000000"/>
          <w:sz w:val="32"/>
          <w:szCs w:val="32"/>
        </w:rPr>
        <w:t>如你（单位）不服本行政处罚决定，可以在收到本行政处罚决定书之日起六十日内向秦皇岛市</w:t>
      </w:r>
      <w:r>
        <w:rPr>
          <w:rFonts w:hint="eastAsia" w:ascii="仿宋" w:hAnsi="仿宋" w:eastAsia="仿宋" w:cs="楷体_GB2312"/>
          <w:bCs/>
          <w:color w:val="000000"/>
          <w:sz w:val="32"/>
          <w:szCs w:val="32"/>
          <w:lang w:eastAsia="zh-CN"/>
        </w:rPr>
        <w:t>人民政府</w:t>
      </w:r>
      <w:r>
        <w:rPr>
          <w:rFonts w:hint="eastAsia" w:ascii="仿宋" w:hAnsi="仿宋" w:eastAsia="仿宋" w:cs="楷体_GB2312"/>
          <w:bCs/>
          <w:color w:val="000000"/>
          <w:sz w:val="32"/>
          <w:szCs w:val="32"/>
        </w:rPr>
        <w:t xml:space="preserve">申请行政复议；也可以在六个月内依法向秦皇岛市海港区人民法院提起行政诉讼。申请行政复议或者提起行政诉讼期间，行政处罚不停止执行。                                                             </w:t>
      </w:r>
    </w:p>
    <w:p>
      <w:pPr>
        <w:ind w:right="233" w:rightChars="111" w:firstLine="640" w:firstLineChars="200"/>
        <w:jc w:val="left"/>
        <w:rPr>
          <w:rFonts w:hint="eastAsia" w:ascii="仿宋" w:hAnsi="仿宋" w:eastAsia="仿宋" w:cs="楷体_GB2312"/>
          <w:bCs/>
          <w:color w:val="000000"/>
          <w:sz w:val="32"/>
          <w:szCs w:val="32"/>
        </w:rPr>
      </w:pPr>
      <w:r>
        <w:rPr>
          <w:rFonts w:hint="eastAsia" w:ascii="仿宋" w:hAnsi="仿宋" w:eastAsia="仿宋" w:cs="楷体_GB2312"/>
          <w:bCs/>
          <w:color w:val="000000"/>
          <w:sz w:val="32"/>
          <w:szCs w:val="32"/>
        </w:rPr>
        <w:t xml:space="preserve">本局将依法向社会公示本行政处罚决定信息。                  </w:t>
      </w:r>
    </w:p>
    <w:p>
      <w:pPr>
        <w:ind w:right="233" w:rightChars="111" w:firstLine="640" w:firstLineChars="200"/>
        <w:jc w:val="left"/>
        <w:rPr>
          <w:rFonts w:hint="eastAsia" w:ascii="仿宋" w:hAnsi="仿宋" w:eastAsia="仿宋" w:cs="楷体_GB2312"/>
          <w:bCs/>
          <w:color w:val="000000"/>
          <w:sz w:val="32"/>
          <w:szCs w:val="32"/>
        </w:rPr>
      </w:pPr>
    </w:p>
    <w:p>
      <w:pPr>
        <w:ind w:right="233" w:rightChars="111" w:firstLine="640" w:firstLineChars="200"/>
        <w:jc w:val="left"/>
        <w:rPr>
          <w:rFonts w:hint="eastAsia" w:ascii="仿宋" w:hAnsi="仿宋" w:eastAsia="仿宋" w:cs="楷体_GB2312"/>
          <w:bCs/>
          <w:color w:val="000000"/>
          <w:sz w:val="32"/>
          <w:szCs w:val="32"/>
        </w:rPr>
      </w:pPr>
    </w:p>
    <w:p>
      <w:pPr>
        <w:ind w:right="233" w:rightChars="111" w:firstLine="640" w:firstLineChars="200"/>
        <w:jc w:val="left"/>
        <w:rPr>
          <w:rFonts w:hint="eastAsia" w:ascii="仿宋" w:hAnsi="仿宋" w:eastAsia="仿宋" w:cs="楷体_GB2312"/>
          <w:bCs/>
          <w:color w:val="000000"/>
          <w:sz w:val="32"/>
          <w:szCs w:val="32"/>
        </w:rPr>
      </w:pPr>
    </w:p>
    <w:p>
      <w:pPr>
        <w:ind w:right="233" w:rightChars="111" w:firstLine="640" w:firstLineChars="200"/>
        <w:jc w:val="left"/>
        <w:rPr>
          <w:rFonts w:hint="eastAsia" w:ascii="仿宋" w:hAnsi="仿宋" w:eastAsia="仿宋" w:cs="楷体_GB2312"/>
          <w:bCs/>
          <w:color w:val="000000"/>
          <w:sz w:val="32"/>
          <w:szCs w:val="32"/>
        </w:rPr>
      </w:pPr>
    </w:p>
    <w:p>
      <w:pPr>
        <w:ind w:right="233" w:rightChars="111" w:firstLine="4160" w:firstLineChars="1300"/>
        <w:jc w:val="left"/>
        <w:rPr>
          <w:rFonts w:hint="eastAsia" w:ascii="仿宋" w:hAnsi="仿宋" w:eastAsia="仿宋" w:cs="楷体_GB2312"/>
          <w:bCs/>
          <w:color w:val="000000"/>
          <w:sz w:val="32"/>
          <w:szCs w:val="32"/>
        </w:rPr>
      </w:pPr>
      <w:r>
        <w:rPr>
          <w:rFonts w:hint="eastAsia" w:ascii="仿宋" w:hAnsi="仿宋" w:eastAsia="仿宋" w:cs="楷体_GB2312"/>
          <w:bCs/>
          <w:color w:val="000000"/>
          <w:sz w:val="32"/>
          <w:szCs w:val="32"/>
        </w:rPr>
        <w:t xml:space="preserve">秦皇岛市市场监督管理局                                                                    </w:t>
      </w:r>
    </w:p>
    <w:p>
      <w:pPr>
        <w:ind w:right="233" w:rightChars="111" w:firstLine="640" w:firstLineChars="200"/>
        <w:jc w:val="left"/>
        <w:rPr>
          <w:rFonts w:hint="eastAsia" w:ascii="仿宋" w:hAnsi="仿宋" w:eastAsia="仿宋" w:cs="楷体_GB2312"/>
          <w:bCs/>
          <w:color w:val="000000"/>
          <w:sz w:val="32"/>
          <w:szCs w:val="32"/>
        </w:rPr>
      </w:pPr>
      <w:r>
        <w:rPr>
          <w:rFonts w:hint="eastAsia" w:ascii="仿宋" w:hAnsi="仿宋" w:eastAsia="仿宋" w:cs="楷体_GB2312"/>
          <w:bCs/>
          <w:color w:val="000000"/>
          <w:sz w:val="32"/>
          <w:szCs w:val="32"/>
          <w:lang w:val="en-US" w:eastAsia="zh-CN"/>
        </w:rPr>
        <w:t xml:space="preserve">                         </w:t>
      </w:r>
      <w:r>
        <w:rPr>
          <w:rFonts w:hint="eastAsia" w:ascii="仿宋" w:hAnsi="仿宋" w:eastAsia="仿宋" w:cs="楷体_GB2312"/>
          <w:bCs/>
          <w:color w:val="000000"/>
          <w:sz w:val="32"/>
          <w:szCs w:val="32"/>
        </w:rPr>
        <w:t xml:space="preserve"> </w:t>
      </w:r>
      <w:r>
        <w:rPr>
          <w:rFonts w:hint="eastAsia" w:ascii="仿宋" w:hAnsi="仿宋" w:eastAsia="仿宋" w:cs="楷体_GB2312"/>
          <w:bCs/>
          <w:color w:val="000000"/>
          <w:sz w:val="32"/>
          <w:szCs w:val="32"/>
          <w:lang w:val="en-US" w:eastAsia="zh-CN"/>
        </w:rPr>
        <w:t>2023</w:t>
      </w:r>
      <w:r>
        <w:rPr>
          <w:rFonts w:hint="eastAsia" w:ascii="仿宋" w:hAnsi="仿宋" w:eastAsia="仿宋" w:cs="楷体_GB2312"/>
          <w:bCs/>
          <w:color w:val="000000"/>
          <w:sz w:val="32"/>
          <w:szCs w:val="32"/>
        </w:rPr>
        <w:t>年</w:t>
      </w:r>
      <w:r>
        <w:rPr>
          <w:rFonts w:hint="eastAsia" w:ascii="仿宋" w:hAnsi="仿宋" w:eastAsia="仿宋" w:cs="楷体_GB2312"/>
          <w:bCs/>
          <w:color w:val="000000"/>
          <w:sz w:val="32"/>
          <w:szCs w:val="32"/>
          <w:lang w:val="en-US" w:eastAsia="zh-CN"/>
        </w:rPr>
        <w:t>10</w:t>
      </w:r>
      <w:r>
        <w:rPr>
          <w:rFonts w:hint="eastAsia" w:ascii="仿宋" w:hAnsi="仿宋" w:eastAsia="仿宋" w:cs="楷体_GB2312"/>
          <w:bCs/>
          <w:color w:val="000000"/>
          <w:sz w:val="32"/>
          <w:szCs w:val="32"/>
        </w:rPr>
        <w:t>月</w:t>
      </w:r>
      <w:r>
        <w:rPr>
          <w:rFonts w:hint="eastAsia" w:ascii="仿宋" w:hAnsi="仿宋" w:eastAsia="仿宋" w:cs="楷体_GB2312"/>
          <w:bCs/>
          <w:color w:val="000000"/>
          <w:sz w:val="32"/>
          <w:szCs w:val="32"/>
          <w:lang w:val="en-US" w:eastAsia="zh-CN"/>
        </w:rPr>
        <w:t>13</w:t>
      </w:r>
      <w:r>
        <w:rPr>
          <w:rFonts w:hint="eastAsia" w:ascii="仿宋" w:hAnsi="仿宋" w:eastAsia="仿宋" w:cs="楷体_GB2312"/>
          <w:bCs/>
          <w:color w:val="000000"/>
          <w:sz w:val="32"/>
          <w:szCs w:val="32"/>
        </w:rPr>
        <w:t>日</w:t>
      </w:r>
    </w:p>
    <w:p>
      <w:pPr>
        <w:wordWrap w:val="0"/>
        <w:snapToGrid w:val="0"/>
        <w:spacing w:line="520" w:lineRule="exact"/>
        <w:rPr>
          <w:rFonts w:hint="eastAsia" w:ascii="仿宋" w:hAnsi="仿宋" w:eastAsia="仿宋" w:cs="黑体"/>
          <w:b/>
          <w:bCs/>
          <w:color w:val="000000"/>
          <w:sz w:val="32"/>
          <w:szCs w:val="32"/>
        </w:rPr>
      </w:pPr>
    </w:p>
    <w:p>
      <w:pPr>
        <w:wordWrap w:val="0"/>
        <w:snapToGrid w:val="0"/>
        <w:spacing w:line="520" w:lineRule="exact"/>
        <w:rPr>
          <w:rFonts w:hint="eastAsia" w:ascii="仿宋" w:hAnsi="仿宋" w:eastAsia="仿宋" w:cs="黑体"/>
          <w:b/>
          <w:bCs/>
          <w:color w:val="000000"/>
          <w:sz w:val="32"/>
          <w:szCs w:val="32"/>
        </w:rPr>
      </w:pPr>
    </w:p>
    <w:p>
      <w:pPr>
        <w:wordWrap w:val="0"/>
        <w:snapToGrid w:val="0"/>
        <w:spacing w:line="520" w:lineRule="exact"/>
        <w:rPr>
          <w:rFonts w:hint="eastAsia" w:ascii="仿宋" w:hAnsi="仿宋" w:eastAsia="仿宋" w:cs="黑体"/>
          <w:b/>
          <w:bCs/>
          <w:color w:val="000000"/>
          <w:sz w:val="32"/>
          <w:szCs w:val="32"/>
        </w:rPr>
      </w:pPr>
    </w:p>
    <w:p>
      <w:pPr>
        <w:wordWrap w:val="0"/>
        <w:snapToGrid w:val="0"/>
        <w:spacing w:line="520" w:lineRule="exact"/>
        <w:rPr>
          <w:rFonts w:ascii="仿宋" w:hAnsi="仿宋" w:eastAsia="仿宋" w:cs="宋体"/>
          <w:color w:val="000000"/>
          <w:sz w:val="32"/>
          <w:szCs w:val="32"/>
          <w:u w:val="single"/>
        </w:rPr>
      </w:pPr>
      <w:r>
        <w:rPr>
          <w:rFonts w:hint="eastAsia" w:ascii="仿宋" w:hAnsi="仿宋" w:eastAsia="仿宋" w:cs="黑体"/>
          <w:b/>
          <w:bCs/>
          <w:color w:val="000000"/>
          <w:sz w:val="32"/>
          <w:szCs w:val="32"/>
        </w:rPr>
        <w:t>（市场监督管理部门将依法向社会公示本行政处罚决定信息）</w:t>
      </w:r>
    </w:p>
    <w:p>
      <w:pPr>
        <w:wordWrap w:val="0"/>
        <w:spacing w:line="520" w:lineRule="exact"/>
        <w:rPr>
          <w:rFonts w:ascii="仿宋" w:hAnsi="仿宋" w:eastAsia="仿宋" w:cs="宋体"/>
          <w:color w:val="000000"/>
          <w:sz w:val="32"/>
          <w:szCs w:val="32"/>
          <w:u w:val="single"/>
        </w:rPr>
      </w:pPr>
      <w:r>
        <w:rPr>
          <w:rFonts w:ascii="仿宋" w:hAnsi="仿宋" w:eastAsia="仿宋" w:cs="宋体"/>
          <w:sz w:val="32"/>
          <w:szCs w:val="32"/>
          <w:u w:val="single"/>
        </w:rPr>
        <w:pict>
          <v:line id="_x0000_s1028" o:spid="_x0000_s1028" o:spt="20" style="position:absolute;left:0pt;margin-left:12.05pt;margin-top:11.8pt;height:0.05pt;width:437.05pt;z-index:251661312;mso-width-relative:page;mso-height-relative:page;" coordsize="21600,21600" o:gfxdata="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zh0Z9dUAAAAHAQAADwAAAAAAAAABACAAAAAiAAAAZHJzL2Rv&#10;d25yZXYueG1sUEsBAhQAFAAAAAgAh07iQA5IfIvLAQAAXwMAAA4AAAAAAAAAAQAgAAAAJAEAAGRy&#10;cy9lMm9Eb2MueG1sUEsFBgAAAAAGAAYAWQEAAGEFAAAAAA==&#10;">
            <v:path arrowok="t"/>
            <v:fill focussize="0,0"/>
            <v:stroke weight="1.25pt"/>
            <v:imagedata o:title=""/>
            <o:lock v:ext="edit"/>
          </v:line>
        </w:pict>
      </w:r>
    </w:p>
    <w:p>
      <w:pPr>
        <w:wordWrap w:val="0"/>
        <w:spacing w:line="520" w:lineRule="exact"/>
        <w:rPr>
          <w:rFonts w:asciiTheme="minorEastAsia" w:hAnsiTheme="minorEastAsia" w:cstheme="minorEastAsia"/>
          <w:sz w:val="32"/>
          <w:szCs w:val="32"/>
        </w:rPr>
      </w:pPr>
      <w:r>
        <w:rPr>
          <w:rFonts w:ascii="仿宋" w:hAnsi="仿宋" w:eastAsia="仿宋" w:cs="宋体"/>
          <w:sz w:val="32"/>
          <w:szCs w:val="32"/>
          <w:u w:val="single"/>
        </w:rPr>
        <w:pict>
          <v:line id="_x0000_s1027" o:spid="_x0000_s1027" o:spt="20" style="position:absolute;left:0pt;margin-left:0pt;margin-top:1638.35pt;height:0.1pt;width:453.75pt;z-index:251662336;mso-width-relative:page;mso-height-relative:page;" coordsize="21600,21600" o:gfxdata="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i+/zkdcAAAAKAQAADwAAAAAAAAABACAAAAAi&#10;AAAAZHJzL2Rvd25yZXYueG1sUEsBAhQAFAAAAAgAh07iQCoMm5PSAQAAaAMAAA4AAAAAAAAAAQAg&#10;AAAAJgEAAGRycy9lMm9Eb2MueG1sUEsFBgAAAAAGAAYAWQEAAGoFAAAAAA==&#10;">
            <v:path arrowok="t"/>
            <v:fill focussize="0,0"/>
            <v:stroke weight="0.737007874015748pt" endcap="square"/>
            <v:imagedata o:title=""/>
            <o:lock v:ext="edit"/>
          </v:line>
        </w:pict>
      </w:r>
      <w:r>
        <w:rPr>
          <w:rFonts w:hint="eastAsia" w:ascii="仿宋" w:hAnsi="仿宋" w:eastAsia="仿宋" w:cs="宋体"/>
          <w:color w:val="000000"/>
          <w:sz w:val="32"/>
          <w:szCs w:val="32"/>
          <w:u w:val="single"/>
        </w:rPr>
        <w:t xml:space="preserve">本文书一式 二 份，   一 份送达，一份归档，            </w:t>
      </w:r>
      <w:r>
        <w:rPr>
          <w:rFonts w:hint="eastAsia" w:ascii="仿宋" w:hAnsi="仿宋" w:eastAsia="仿宋" w:cstheme="minorEastAsia"/>
          <w:color w:val="000000"/>
          <w:sz w:val="32"/>
          <w:szCs w:val="32"/>
        </w:rPr>
        <w:t>。</w:t>
      </w:r>
    </w:p>
    <w:p>
      <w:pPr>
        <w:rPr>
          <w:rFonts w:asciiTheme="minorEastAsia" w:hAnsiTheme="minorEastAsia" w:cstheme="minorEastAsia"/>
          <w:sz w:val="32"/>
          <w:szCs w:val="32"/>
        </w:rPr>
      </w:pPr>
    </w:p>
    <w:sectPr>
      <w:footerReference r:id="rId3" w:type="default"/>
      <w:pgSz w:w="11906" w:h="16838"/>
      <w:pgMar w:top="1474" w:right="1417" w:bottom="1474"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_GB2312">
    <w:altName w:val="Times New Roman"/>
    <w:panose1 w:val="00000000000000000000"/>
    <w:charset w:val="00"/>
    <w:family w:val="auto"/>
    <w:pitch w:val="default"/>
    <w:sig w:usb0="00000000" w:usb1="00000000" w:usb2="00000000" w:usb3="00000000" w:csb0="00000001" w:csb1="00000000"/>
  </w:font>
  <w:font w:name="Mongolian Baiti">
    <w:panose1 w:val="03000500000000000000"/>
    <w:charset w:val="00"/>
    <w:family w:val="script"/>
    <w:pitch w:val="default"/>
    <w:sig w:usb0="80000023" w:usb1="00000000" w:usb2="00020000" w:usb3="00000000" w:csb0="00000001" w:csb1="00000000"/>
  </w:font>
  <w:font w:name="楷体_GB2312">
    <w:altName w:val="楷体"/>
    <w:panose1 w:val="02010609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pict>
        <v:shape id="_x0000_s2049" o:spid="_x0000_s2049"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joinstyle="miter"/>
          <v:imagedata o:title=""/>
          <o:lock v:ext="edit"/>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420"/>
  <w:drawingGridVerticalSpacing w:val="156"/>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TNlZTUzMDIyYWIwYjRmNTQ1YTQ5ZjMxNDE4NjU5YWUifQ=="/>
  </w:docVars>
  <w:rsids>
    <w:rsidRoot w:val="00261B45"/>
    <w:rsid w:val="00020638"/>
    <w:rsid w:val="0003337C"/>
    <w:rsid w:val="00081C4C"/>
    <w:rsid w:val="000B3787"/>
    <w:rsid w:val="0017746D"/>
    <w:rsid w:val="001D64C4"/>
    <w:rsid w:val="00261B45"/>
    <w:rsid w:val="002B07B9"/>
    <w:rsid w:val="003357AE"/>
    <w:rsid w:val="003861B2"/>
    <w:rsid w:val="003D14F3"/>
    <w:rsid w:val="003E59AF"/>
    <w:rsid w:val="004F2F16"/>
    <w:rsid w:val="00545F90"/>
    <w:rsid w:val="005812F4"/>
    <w:rsid w:val="005A1325"/>
    <w:rsid w:val="00601471"/>
    <w:rsid w:val="00612EA9"/>
    <w:rsid w:val="007A73BC"/>
    <w:rsid w:val="007F7427"/>
    <w:rsid w:val="008337AA"/>
    <w:rsid w:val="00925A9B"/>
    <w:rsid w:val="00934C3A"/>
    <w:rsid w:val="00940A04"/>
    <w:rsid w:val="0097082C"/>
    <w:rsid w:val="009C156C"/>
    <w:rsid w:val="009F19C5"/>
    <w:rsid w:val="009F212A"/>
    <w:rsid w:val="00A06519"/>
    <w:rsid w:val="00A178AB"/>
    <w:rsid w:val="00B44BED"/>
    <w:rsid w:val="00BD5B48"/>
    <w:rsid w:val="00C13D0C"/>
    <w:rsid w:val="00C14840"/>
    <w:rsid w:val="00C573C9"/>
    <w:rsid w:val="00C80EBC"/>
    <w:rsid w:val="00CE36D2"/>
    <w:rsid w:val="00CE6A5B"/>
    <w:rsid w:val="00DB5217"/>
    <w:rsid w:val="00E12E17"/>
    <w:rsid w:val="00E246BC"/>
    <w:rsid w:val="00E40DEB"/>
    <w:rsid w:val="00EF02BE"/>
    <w:rsid w:val="00F42CA4"/>
    <w:rsid w:val="00F77967"/>
    <w:rsid w:val="00FB229E"/>
    <w:rsid w:val="00FF2AD2"/>
    <w:rsid w:val="01071721"/>
    <w:rsid w:val="018767F9"/>
    <w:rsid w:val="02965836"/>
    <w:rsid w:val="02D54924"/>
    <w:rsid w:val="03EA2651"/>
    <w:rsid w:val="04F43D6F"/>
    <w:rsid w:val="05CD3FD8"/>
    <w:rsid w:val="06782196"/>
    <w:rsid w:val="09E94680"/>
    <w:rsid w:val="0A1D552E"/>
    <w:rsid w:val="0A99133A"/>
    <w:rsid w:val="0B084B61"/>
    <w:rsid w:val="0C821E59"/>
    <w:rsid w:val="0D4B051E"/>
    <w:rsid w:val="0EFE2AE5"/>
    <w:rsid w:val="0FFE2269"/>
    <w:rsid w:val="107233E8"/>
    <w:rsid w:val="1326357C"/>
    <w:rsid w:val="136E2957"/>
    <w:rsid w:val="16051582"/>
    <w:rsid w:val="17152542"/>
    <w:rsid w:val="18F14FE3"/>
    <w:rsid w:val="1967313B"/>
    <w:rsid w:val="1A7C56B4"/>
    <w:rsid w:val="1B9431FB"/>
    <w:rsid w:val="1CAF53BD"/>
    <w:rsid w:val="1CD667D0"/>
    <w:rsid w:val="1D0D29CF"/>
    <w:rsid w:val="1D162491"/>
    <w:rsid w:val="1D1C404F"/>
    <w:rsid w:val="1E937BB8"/>
    <w:rsid w:val="1ECA1AC6"/>
    <w:rsid w:val="20522F5E"/>
    <w:rsid w:val="221D3B45"/>
    <w:rsid w:val="23627A12"/>
    <w:rsid w:val="237635F6"/>
    <w:rsid w:val="26F22366"/>
    <w:rsid w:val="27FC6C7E"/>
    <w:rsid w:val="28707897"/>
    <w:rsid w:val="2932059A"/>
    <w:rsid w:val="2B5F1D03"/>
    <w:rsid w:val="2CE02D8A"/>
    <w:rsid w:val="2E8E1CA7"/>
    <w:rsid w:val="30236985"/>
    <w:rsid w:val="30A763AA"/>
    <w:rsid w:val="319C292D"/>
    <w:rsid w:val="322F2560"/>
    <w:rsid w:val="33380927"/>
    <w:rsid w:val="338024EF"/>
    <w:rsid w:val="34C324BE"/>
    <w:rsid w:val="350C42EE"/>
    <w:rsid w:val="355E0625"/>
    <w:rsid w:val="359605E4"/>
    <w:rsid w:val="38A72FFF"/>
    <w:rsid w:val="39C742BF"/>
    <w:rsid w:val="3A1C272D"/>
    <w:rsid w:val="3A791A5E"/>
    <w:rsid w:val="3B2F036E"/>
    <w:rsid w:val="3B54045B"/>
    <w:rsid w:val="3D6A7D83"/>
    <w:rsid w:val="41B234F8"/>
    <w:rsid w:val="43592C00"/>
    <w:rsid w:val="44612D2C"/>
    <w:rsid w:val="45BC42A2"/>
    <w:rsid w:val="4711663E"/>
    <w:rsid w:val="47867568"/>
    <w:rsid w:val="47DB5022"/>
    <w:rsid w:val="49F02912"/>
    <w:rsid w:val="4C826202"/>
    <w:rsid w:val="4D0E4C96"/>
    <w:rsid w:val="4E5A5650"/>
    <w:rsid w:val="50F7329A"/>
    <w:rsid w:val="52A54CC8"/>
    <w:rsid w:val="52E22C40"/>
    <w:rsid w:val="558A777C"/>
    <w:rsid w:val="57513011"/>
    <w:rsid w:val="5B480E52"/>
    <w:rsid w:val="5C5869BC"/>
    <w:rsid w:val="5CCC4F24"/>
    <w:rsid w:val="5F9C5F6A"/>
    <w:rsid w:val="60056957"/>
    <w:rsid w:val="607C7302"/>
    <w:rsid w:val="61990FB0"/>
    <w:rsid w:val="62C84A71"/>
    <w:rsid w:val="63384043"/>
    <w:rsid w:val="652E4ACF"/>
    <w:rsid w:val="66012FEB"/>
    <w:rsid w:val="665552C7"/>
    <w:rsid w:val="675853C5"/>
    <w:rsid w:val="6836188A"/>
    <w:rsid w:val="69C95843"/>
    <w:rsid w:val="6BF55FC2"/>
    <w:rsid w:val="6C821056"/>
    <w:rsid w:val="6E783501"/>
    <w:rsid w:val="6EE17AEF"/>
    <w:rsid w:val="6FCF30CF"/>
    <w:rsid w:val="709D2F56"/>
    <w:rsid w:val="71B4761C"/>
    <w:rsid w:val="73011F50"/>
    <w:rsid w:val="74EA5B80"/>
    <w:rsid w:val="78432372"/>
    <w:rsid w:val="79444B4F"/>
    <w:rsid w:val="7A1C4ECC"/>
    <w:rsid w:val="7B9A3006"/>
    <w:rsid w:val="7C6D30E8"/>
    <w:rsid w:val="7D9A64D2"/>
    <w:rsid w:val="7E5F4B53"/>
    <w:rsid w:val="7E8853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rules v:ext="edit">
        <o:r id="V:Rule1" type="connector" idref="#_x0000_s1026"/>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8"/>
    <w:unhideWhenUsed/>
    <w:qFormat/>
    <w:uiPriority w:val="99"/>
    <w:rPr>
      <w:sz w:val="18"/>
      <w:szCs w:val="18"/>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7">
    <w:name w:val="page number"/>
    <w:basedOn w:val="6"/>
    <w:qFormat/>
    <w:uiPriority w:val="0"/>
  </w:style>
  <w:style w:type="character" w:customStyle="1" w:styleId="8">
    <w:name w:val="批注框文本 Char"/>
    <w:basedOn w:val="6"/>
    <w:link w:val="2"/>
    <w:semiHidden/>
    <w:qFormat/>
    <w:uiPriority w:val="99"/>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2.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Info spid="_x0000_s1026"/>
    <customShpInfo spid="_x0000_s1028"/>
    <customShpInfo spid="_x0000_s1027"/>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3892843-48C2-4936-BD80-97E106839DF1}">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6</Pages>
  <Words>3322</Words>
  <Characters>3563</Characters>
  <Lines>26</Lines>
  <Paragraphs>7</Paragraphs>
  <TotalTime>11</TotalTime>
  <ScaleCrop>false</ScaleCrop>
  <LinksUpToDate>false</LinksUpToDate>
  <CharactersWithSpaces>4797</CharactersWithSpaces>
  <Application>WPS Office_11.8.6.8810_F1E327BC-269C-435d-A152-05C5408002CA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2019-04-25T08:35:00Z</dcterms:created>
  <dc:creator>lianxiang</dc:creator>
  <cp:lastModifiedBy>毛毛</cp:lastModifiedBy>
  <cp:lastPrinted>2020-11-20T07:09:00Z</cp:lastPrinted>
  <dcterms:modified xsi:type="dcterms:W3CDTF">2023-10-13T00:51:38Z</dcterms:modified>
  <cp:revision>36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2052-11.8.6.8810</vt:lpwstr>
  </property>
  <property fmtid="{D5CDD505-2E9C-101B-9397-08002B2CF9AE}" pid="3" name="ICV">
    <vt:lpwstr>331E67A037634590AA3C1F91CCBBB972</vt:lpwstr>
  </property>
</Properties>
</file>