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bookmarkStart w:id="0" w:name="_GoBack"/>
      <w:r>
        <w:rPr>
          <w:rFonts w:hint="eastAsia" w:ascii="宋体" w:hAnsi="宋体" w:eastAsia="宋体" w:cs="方正小标宋简体"/>
          <w:bCs/>
          <w:snapToGrid/>
          <w:color w:val="auto"/>
          <w:kern w:val="2"/>
          <w:sz w:val="44"/>
          <w:szCs w:val="44"/>
        </w:rPr>
        <w:t>秦皇岛市市场监督管理局</w:t>
      </w:r>
    </w:p>
    <w:p>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3</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79</w:t>
      </w:r>
      <w:r>
        <w:rPr>
          <w:rFonts w:hint="eastAsia" w:ascii="仿宋" w:hAnsi="仿宋" w:eastAsia="仿宋" w:cs="Times New Roman"/>
          <w:b/>
          <w:bCs/>
          <w:snapToGrid/>
          <w:color w:val="auto"/>
          <w:kern w:val="2"/>
          <w:sz w:val="28"/>
          <w:szCs w:val="28"/>
          <w:lang w:val="zh-CN" w:bidi="hi-IN"/>
        </w:rPr>
        <w:t>号</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当事人：</w:t>
      </w:r>
      <w:r>
        <w:rPr>
          <w:rFonts w:hint="eastAsia" w:ascii="仿宋" w:hAnsi="仿宋" w:eastAsia="仿宋" w:cs="仿宋"/>
          <w:color w:val="auto"/>
          <w:sz w:val="32"/>
          <w:szCs w:val="32"/>
          <w:lang w:eastAsia="zh-CN"/>
        </w:rPr>
        <w:t>北戴河新区源荣超市</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pacing w:val="-7"/>
          <w:sz w:val="32"/>
          <w:szCs w:val="32"/>
        </w:rPr>
        <w:t>92130392MA08D6L56C</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pacing w:val="-7"/>
          <w:sz w:val="32"/>
          <w:szCs w:val="32"/>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pacing w:val="-7"/>
          <w:sz w:val="32"/>
          <w:szCs w:val="32"/>
        </w:rPr>
        <w:t>秦皇岛北戴河新区南戴河街道盛华苑小区5-9号商铺</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pacing w:val="-7"/>
          <w:sz w:val="32"/>
          <w:szCs w:val="32"/>
          <w:lang w:eastAsia="zh-CN"/>
        </w:rPr>
        <w:t>王玉</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日，执法人员对北戴河新区源荣超市进行检查，发现其销售的2升百事可乐、2升可口可乐、2升雪碧、2L康师傅冰红茶等食品未明码标价。本局于202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日予以立案调查，执法人员对当事人进行询问调查，确定其违法事实。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u w:val="none"/>
          <w:lang w:eastAsia="zh-CN"/>
        </w:rPr>
        <w:t>经查，</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销售</w:t>
      </w:r>
      <w:r>
        <w:rPr>
          <w:rFonts w:hint="eastAsia" w:ascii="仿宋" w:hAnsi="仿宋" w:eastAsia="仿宋" w:cs="仿宋"/>
          <w:color w:val="auto"/>
          <w:sz w:val="32"/>
          <w:szCs w:val="32"/>
        </w:rPr>
        <w:t>2升百事</w:t>
      </w:r>
      <w:r>
        <w:rPr>
          <w:rFonts w:hint="eastAsia" w:ascii="仿宋" w:hAnsi="仿宋" w:eastAsia="仿宋" w:cs="仿宋"/>
          <w:color w:val="auto"/>
          <w:sz w:val="32"/>
          <w:szCs w:val="32"/>
        </w:rPr>
        <w:t>可乐、2升可口可乐、2升雪碧、2L康师傅冰红茶等食</w:t>
      </w:r>
      <w:r>
        <w:rPr>
          <w:rFonts w:hint="eastAsia" w:ascii="仿宋" w:hAnsi="仿宋" w:eastAsia="仿宋" w:cs="仿宋"/>
          <w:color w:val="auto"/>
          <w:sz w:val="32"/>
          <w:szCs w:val="32"/>
          <w:lang w:eastAsia="zh-CN"/>
        </w:rPr>
        <w:t>品未明码标价，未标注商品的品名、产地、规格、等级、计价单位、价格或者服务的项目、收费标准等有关情况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当事人的违法所得无法计算。</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本案未采取行政强制措施。</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，执法人员对当事人检查时制作的现场笔录一份，证明当事人的违法事实；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视频和照片一张</w:t>
      </w:r>
      <w:r>
        <w:rPr>
          <w:rFonts w:hint="eastAsia" w:ascii="仿宋" w:hAnsi="仿宋" w:eastAsia="仿宋" w:cs="仿宋"/>
          <w:color w:val="auto"/>
          <w:sz w:val="32"/>
          <w:szCs w:val="32"/>
        </w:rPr>
        <w:t>，证明当事人的违法事实；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r>
        <w:rPr>
          <w:rFonts w:hint="eastAsia" w:ascii="仿宋" w:hAnsi="仿宋" w:eastAsia="仿宋" w:cs="仿宋"/>
          <w:color w:val="auto"/>
          <w:sz w:val="32"/>
          <w:szCs w:val="32"/>
          <w:lang w:eastAsia="zh-CN"/>
        </w:rPr>
        <w:t>和违法所得情况</w:t>
      </w:r>
      <w:r>
        <w:rPr>
          <w:rFonts w:hint="eastAsia" w:ascii="仿宋" w:hAnsi="仿宋" w:eastAsia="仿宋" w:cs="仿宋"/>
          <w:color w:val="auto"/>
          <w:sz w:val="32"/>
          <w:szCs w:val="32"/>
        </w:rPr>
        <w:t>；</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执法人员调取的当事人居民身份证复印件一份，证明当事人的身份；</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，执法人员调取的当事人营业执照复印件一张，证明当事人的市场主体资格；</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w:t>
      </w:r>
      <w:r>
        <w:rPr>
          <w:rFonts w:hint="eastAsia" w:ascii="仿宋" w:hAnsi="仿宋" w:eastAsia="仿宋" w:cs="仿宋"/>
          <w:color w:val="auto"/>
          <w:sz w:val="32"/>
          <w:szCs w:val="32"/>
          <w:lang w:eastAsia="zh-CN"/>
        </w:rPr>
        <w:t>其</w:t>
      </w:r>
      <w:r>
        <w:rPr>
          <w:rFonts w:hint="eastAsia" w:ascii="仿宋" w:hAnsi="仿宋" w:eastAsia="仿宋" w:cs="仿宋"/>
          <w:color w:val="auto"/>
          <w:sz w:val="32"/>
          <w:szCs w:val="32"/>
        </w:rPr>
        <w:t>从业人员健康证明复印件</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份，证明其从业人员的从业资格；</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w:t>
      </w:r>
      <w:r>
        <w:rPr>
          <w:rFonts w:hint="eastAsia" w:ascii="仿宋" w:hAnsi="仿宋" w:eastAsia="仿宋" w:cs="仿宋"/>
          <w:color w:val="auto"/>
          <w:sz w:val="32"/>
          <w:szCs w:val="32"/>
          <w:lang w:eastAsia="zh-CN"/>
        </w:rPr>
        <w:t>经营许可证</w:t>
      </w:r>
      <w:r>
        <w:rPr>
          <w:rFonts w:hint="eastAsia" w:ascii="仿宋" w:hAnsi="仿宋" w:eastAsia="仿宋" w:cs="仿宋"/>
          <w:color w:val="auto"/>
          <w:sz w:val="32"/>
          <w:szCs w:val="32"/>
        </w:rPr>
        <w:t>复印件一份，证明当事人的经营资格。</w:t>
      </w:r>
    </w:p>
    <w:p>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3</w:t>
      </w:r>
      <w:r>
        <w:rPr>
          <w:rFonts w:hint="eastAsia" w:ascii="仿宋" w:hAnsi="仿宋" w:eastAsia="仿宋" w:cs="仿宋"/>
          <w:snapToGrid w:val="0"/>
          <w:color w:val="auto"/>
          <w:spacing w:val="-9"/>
          <w:sz w:val="32"/>
          <w:szCs w:val="32"/>
        </w:rPr>
        <w:t>年</w:t>
      </w:r>
      <w:r>
        <w:rPr>
          <w:rFonts w:hint="eastAsia" w:ascii="仿宋" w:hAnsi="仿宋" w:eastAsia="仿宋" w:cs="仿宋"/>
          <w:snapToGrid w:val="0"/>
          <w:color w:val="auto"/>
          <w:spacing w:val="-9"/>
          <w:sz w:val="32"/>
          <w:szCs w:val="32"/>
          <w:lang w:val="en-US" w:eastAsia="zh-CN"/>
        </w:rPr>
        <w:t>8</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9</w:t>
      </w:r>
      <w:r>
        <w:rPr>
          <w:rFonts w:hint="eastAsia" w:ascii="仿宋" w:hAnsi="仿宋" w:eastAsia="仿宋" w:cs="仿宋"/>
          <w:snapToGrid w:val="0"/>
          <w:color w:val="auto"/>
          <w:spacing w:val="-9"/>
          <w:sz w:val="32"/>
          <w:szCs w:val="32"/>
        </w:rPr>
        <w:t>日，本局向当事人送达行政处罚告知书，告知其拟作出行政处罚内容</w:t>
      </w:r>
      <w:r>
        <w:rPr>
          <w:rFonts w:hint="eastAsia" w:ascii="仿宋" w:hAnsi="仿宋" w:eastAsia="仿宋" w:cs="仿宋"/>
          <w:snapToGrid w:val="0"/>
          <w:color w:val="auto"/>
          <w:spacing w:val="-9"/>
          <w:sz w:val="32"/>
          <w:szCs w:val="32"/>
          <w:lang w:eastAsia="zh-CN"/>
        </w:rPr>
        <w:t>以及</w:t>
      </w:r>
      <w:r>
        <w:rPr>
          <w:rFonts w:hint="eastAsia" w:ascii="仿宋" w:hAnsi="仿宋" w:eastAsia="仿宋" w:cs="仿宋"/>
          <w:snapToGrid w:val="0"/>
          <w:color w:val="auto"/>
          <w:spacing w:val="-9"/>
          <w:sz w:val="32"/>
          <w:szCs w:val="32"/>
        </w:rPr>
        <w:t>事实、理由、依据，</w:t>
      </w:r>
      <w:r>
        <w:rPr>
          <w:rFonts w:hint="eastAsia" w:ascii="仿宋" w:hAnsi="仿宋" w:eastAsia="仿宋" w:cs="仿宋"/>
          <w:snapToGrid w:val="0"/>
          <w:color w:val="auto"/>
          <w:spacing w:val="-9"/>
          <w:sz w:val="32"/>
          <w:szCs w:val="32"/>
          <w:lang w:eastAsia="zh-CN"/>
        </w:rPr>
        <w:t>并告知当事人依法享有陈述、申辩和要求听证的权利。</w:t>
      </w:r>
      <w:r>
        <w:rPr>
          <w:rFonts w:hint="eastAsia" w:ascii="仿宋" w:hAnsi="仿宋" w:eastAsia="仿宋" w:cs="仿宋"/>
          <w:snapToGrid w:val="0"/>
          <w:color w:val="auto"/>
          <w:spacing w:val="-9"/>
          <w:sz w:val="32"/>
          <w:szCs w:val="32"/>
        </w:rPr>
        <w:t>当事人在法定期限内未提出</w:t>
      </w:r>
      <w:r>
        <w:rPr>
          <w:rFonts w:hint="eastAsia" w:ascii="仿宋" w:hAnsi="仿宋" w:eastAsia="仿宋" w:cs="仿宋"/>
          <w:snapToGrid w:val="0"/>
          <w:color w:val="auto"/>
          <w:spacing w:val="-9"/>
          <w:sz w:val="32"/>
          <w:szCs w:val="32"/>
          <w:lang w:eastAsia="zh-CN"/>
        </w:rPr>
        <w:t>听证要求，也未提出</w:t>
      </w:r>
      <w:r>
        <w:rPr>
          <w:rFonts w:hint="eastAsia" w:ascii="仿宋" w:hAnsi="仿宋" w:eastAsia="仿宋" w:cs="仿宋"/>
          <w:snapToGrid w:val="0"/>
          <w:color w:val="auto"/>
          <w:spacing w:val="-9"/>
          <w:sz w:val="32"/>
          <w:szCs w:val="32"/>
        </w:rPr>
        <w:t>陈述、申辩</w:t>
      </w:r>
      <w:r>
        <w:rPr>
          <w:rFonts w:hint="eastAsia" w:ascii="仿宋" w:hAnsi="仿宋" w:eastAsia="仿宋" w:cs="仿宋"/>
          <w:snapToGrid w:val="0"/>
          <w:color w:val="auto"/>
          <w:spacing w:val="-9"/>
          <w:sz w:val="32"/>
          <w:szCs w:val="32"/>
          <w:lang w:eastAsia="zh-CN"/>
        </w:rPr>
        <w:t>意见</w:t>
      </w:r>
      <w:r>
        <w:rPr>
          <w:rFonts w:hint="eastAsia" w:ascii="仿宋" w:hAnsi="仿宋" w:eastAsia="仿宋" w:cs="仿宋"/>
          <w:snapToGrid w:val="0"/>
          <w:color w:val="auto"/>
          <w:spacing w:val="-9"/>
          <w:sz w:val="32"/>
          <w:szCs w:val="32"/>
        </w:rPr>
        <w:t>。</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w:t>
      </w:r>
      <w:r>
        <w:rPr>
          <w:rFonts w:hint="eastAsia" w:ascii="仿宋" w:hAnsi="仿宋" w:eastAsia="仿宋" w:cs="仿宋"/>
          <w:color w:val="auto"/>
          <w:sz w:val="32"/>
          <w:szCs w:val="32"/>
          <w:lang w:eastAsia="zh-CN"/>
        </w:rPr>
        <w:t>销售</w:t>
      </w:r>
      <w:r>
        <w:rPr>
          <w:rFonts w:hint="eastAsia" w:ascii="仿宋" w:hAnsi="仿宋" w:eastAsia="仿宋" w:cs="仿宋"/>
          <w:color w:val="auto"/>
          <w:sz w:val="32"/>
          <w:szCs w:val="32"/>
        </w:rPr>
        <w:t>2升百事可乐、2升可口可乐、2升雪碧、2L康师傅冰红茶等食品</w:t>
      </w:r>
      <w:r>
        <w:rPr>
          <w:rFonts w:hint="eastAsia" w:ascii="仿宋" w:hAnsi="仿宋" w:eastAsia="仿宋" w:cs="仿宋"/>
          <w:color w:val="auto"/>
          <w:sz w:val="32"/>
          <w:szCs w:val="32"/>
          <w:lang w:eastAsia="zh-CN"/>
        </w:rPr>
        <w:t>时未明码标价，未标注商品的品名、产地、规格、等级、计价单位、价格或者服务的项目、收费标准等有关情况</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行为，违反了《中华人民共和国价格法》第十三条</w:t>
      </w:r>
      <w:r>
        <w:rPr>
          <w:rFonts w:hint="eastAsia" w:ascii="仿宋" w:hAnsi="仿宋" w:eastAsia="仿宋" w:cs="仿宋"/>
          <w:color w:val="auto"/>
          <w:sz w:val="32"/>
          <w:szCs w:val="32"/>
          <w:lang w:eastAsia="zh-CN"/>
        </w:rPr>
        <w:t>“ 经营者销售、收购商品和提供服务，应当按照政府价格主管部门的规定明码标价，注明商品的品名、产地、规格、等级、计价单位、价格或者服务的项目、收费标准等有关情况。”和《明码标价和禁止价格欺诈规定》第七条第一款“经营者销售商品应当标示商品的品名、价格和计价单位。”</w:t>
      </w:r>
      <w:r>
        <w:rPr>
          <w:rFonts w:hint="eastAsia" w:ascii="仿宋" w:hAnsi="仿宋" w:eastAsia="仿宋" w:cs="仿宋"/>
          <w:color w:val="auto"/>
          <w:sz w:val="32"/>
          <w:szCs w:val="32"/>
        </w:rPr>
        <w:t>的规定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属未明码标价销售</w:t>
      </w:r>
      <w:r>
        <w:rPr>
          <w:rFonts w:hint="eastAsia" w:ascii="仿宋" w:hAnsi="仿宋" w:eastAsia="仿宋" w:cs="仿宋"/>
          <w:color w:val="auto"/>
          <w:sz w:val="32"/>
          <w:szCs w:val="32"/>
          <w:lang w:eastAsia="zh-CN"/>
        </w:rPr>
        <w:t>食品</w:t>
      </w:r>
      <w:r>
        <w:rPr>
          <w:rFonts w:hint="eastAsia" w:ascii="仿宋" w:hAnsi="仿宋" w:eastAsia="仿宋" w:cs="仿宋"/>
          <w:color w:val="auto"/>
          <w:spacing w:val="-12"/>
          <w:sz w:val="32"/>
          <w:szCs w:val="32"/>
        </w:rPr>
        <w:t>的违法行为。</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依据《河北省市场监督管理行政处罚裁量</w:t>
      </w:r>
      <w:r>
        <w:rPr>
          <w:rFonts w:hint="eastAsia" w:ascii="仿宋" w:hAnsi="仿宋" w:eastAsia="仿宋" w:cs="仿宋"/>
          <w:color w:val="auto"/>
          <w:sz w:val="32"/>
          <w:szCs w:val="32"/>
          <w:lang w:eastAsia="zh-CN"/>
        </w:rPr>
        <w:t>权适用规则</w:t>
      </w:r>
      <w:r>
        <w:rPr>
          <w:rFonts w:hint="eastAsia" w:ascii="仿宋" w:hAnsi="仿宋" w:eastAsia="仿宋" w:cs="仿宋"/>
          <w:color w:val="auto"/>
          <w:sz w:val="32"/>
          <w:szCs w:val="32"/>
        </w:rPr>
        <w:t>》的规定，综合考虑当事人违法行为的事实、性质、情节、社会危害程度，</w:t>
      </w:r>
      <w:r>
        <w:rPr>
          <w:rFonts w:hint="eastAsia" w:ascii="仿宋" w:hAnsi="仿宋" w:eastAsia="仿宋" w:cs="仿宋"/>
          <w:color w:val="auto"/>
          <w:sz w:val="32"/>
          <w:szCs w:val="32"/>
          <w:lang w:eastAsia="zh-CN"/>
        </w:rPr>
        <w:t>没有从轻或者从重处罚的情形，</w:t>
      </w:r>
      <w:r>
        <w:rPr>
          <w:rFonts w:hint="eastAsia" w:ascii="仿宋" w:hAnsi="仿宋" w:eastAsia="仿宋" w:cs="仿宋"/>
          <w:color w:val="auto"/>
          <w:sz w:val="32"/>
          <w:szCs w:val="32"/>
        </w:rPr>
        <w:t>适用一般裁量，</w:t>
      </w:r>
      <w:r>
        <w:rPr>
          <w:rFonts w:hint="eastAsia" w:ascii="仿宋" w:hAnsi="仿宋" w:eastAsia="仿宋" w:cs="仿宋"/>
          <w:color w:val="auto"/>
          <w:sz w:val="32"/>
          <w:szCs w:val="32"/>
          <w:lang w:val="en-US" w:eastAsia="zh-CN"/>
        </w:rPr>
        <w:t>处罚范围应在1500 元以上 3500 元以下。</w:t>
      </w:r>
    </w:p>
    <w:p>
      <w:pPr>
        <w:pStyle w:val="4"/>
        <w:keepNext w:val="0"/>
        <w:keepLines w:val="0"/>
        <w:pageBreakBefore w:val="0"/>
        <w:numPr>
          <w:ilvl w:val="0"/>
          <w:numId w:val="0"/>
        </w:numPr>
        <w:wordWrap/>
        <w:overflowPunct/>
        <w:topLinePunct w:val="0"/>
        <w:bidi w:val="0"/>
        <w:spacing w:beforeAutospacing="0" w:afterAutospacing="0" w:line="440" w:lineRule="exact"/>
        <w:ind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根据</w:t>
      </w:r>
      <w:r>
        <w:rPr>
          <w:rFonts w:hint="eastAsia" w:ascii="仿宋" w:hAnsi="仿宋" w:eastAsia="仿宋" w:cs="仿宋"/>
          <w:color w:val="auto"/>
          <w:sz w:val="32"/>
          <w:szCs w:val="32"/>
          <w:lang w:eastAsia="zh-CN"/>
        </w:rPr>
        <w:t>《明码标价和禁止价格欺诈规定》</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十二条</w:t>
      </w:r>
      <w:r>
        <w:rPr>
          <w:rFonts w:hint="eastAsia" w:ascii="仿宋" w:hAnsi="仿宋" w:eastAsia="仿宋" w:cs="仿宋"/>
          <w:color w:val="auto"/>
          <w:sz w:val="32"/>
          <w:szCs w:val="32"/>
          <w:lang w:eastAsia="zh-CN"/>
        </w:rPr>
        <w:t>“经营者违反本规定有关明码标价规定的，由县级以上市场监督管理部门依照《中华人民共和国价格法》、《价格违法行为行政处罚规定》有关规定进行处罚。”</w:t>
      </w:r>
      <w:r>
        <w:rPr>
          <w:rFonts w:hint="eastAsia" w:ascii="仿宋" w:hAnsi="仿宋" w:eastAsia="仿宋" w:cs="仿宋"/>
          <w:color w:val="auto"/>
          <w:sz w:val="32"/>
          <w:szCs w:val="32"/>
          <w:lang w:eastAsia="zh-CN"/>
        </w:rPr>
        <w:t>依据</w:t>
      </w:r>
      <w:r>
        <w:rPr>
          <w:rFonts w:hint="eastAsia" w:ascii="仿宋" w:hAnsi="仿宋" w:eastAsia="仿宋" w:cs="仿宋"/>
          <w:color w:val="auto"/>
          <w:sz w:val="32"/>
          <w:szCs w:val="32"/>
        </w:rPr>
        <w:t>《中华人民共和国价格法》第四十二条</w:t>
      </w:r>
      <w:r>
        <w:rPr>
          <w:rFonts w:hint="eastAsia" w:ascii="仿宋" w:hAnsi="仿宋" w:eastAsia="仿宋" w:cs="仿宋"/>
          <w:color w:val="auto"/>
          <w:sz w:val="32"/>
          <w:szCs w:val="32"/>
        </w:rPr>
        <w:t>“经营者违反明码标价规定的，责令改正，没收违法所得，可以并处五千元以下的罚款。”</w:t>
      </w:r>
      <w:r>
        <w:rPr>
          <w:rFonts w:hint="eastAsia" w:ascii="仿宋" w:hAnsi="仿宋" w:eastAsia="仿宋" w:cs="仿宋"/>
          <w:color w:val="auto"/>
          <w:sz w:val="32"/>
          <w:szCs w:val="32"/>
          <w:lang w:eastAsia="zh-CN"/>
        </w:rPr>
        <w:t>和《价格违法行为行政处罚规定》第十三条第一款第（一）项“经营者违反明码标价规定，有下列行为之一的，责令改正，没收违法所得，可以并处5000元以下的罚款：(一)不标明价格的;”</w:t>
      </w:r>
      <w:r>
        <w:rPr>
          <w:rFonts w:hint="eastAsia" w:ascii="仿宋" w:hAnsi="仿宋" w:eastAsia="仿宋" w:cs="仿宋"/>
          <w:color w:val="auto"/>
          <w:sz w:val="32"/>
          <w:szCs w:val="32"/>
        </w:rPr>
        <w:t>之规定，</w:t>
      </w:r>
      <w:r>
        <w:rPr>
          <w:rFonts w:hint="eastAsia" w:ascii="仿宋" w:hAnsi="仿宋" w:eastAsia="仿宋" w:cs="仿宋"/>
          <w:color w:val="auto"/>
          <w:spacing w:val="0"/>
          <w:sz w:val="32"/>
          <w:szCs w:val="32"/>
          <w:lang w:eastAsia="zh-CN"/>
        </w:rPr>
        <w:t>现</w:t>
      </w:r>
      <w:r>
        <w:rPr>
          <w:rFonts w:hint="eastAsia" w:ascii="仿宋" w:hAnsi="仿宋" w:eastAsia="仿宋" w:cs="仿宋"/>
          <w:color w:val="auto"/>
          <w:spacing w:val="0"/>
          <w:sz w:val="32"/>
          <w:szCs w:val="32"/>
        </w:rPr>
        <w:t>责令当事人改正上述违法行为，并处罚如下：</w:t>
      </w:r>
    </w:p>
    <w:p>
      <w:pPr>
        <w:pStyle w:val="4"/>
        <w:keepNext w:val="0"/>
        <w:keepLines w:val="0"/>
        <w:pageBreakBefore w:val="0"/>
        <w:numPr>
          <w:ilvl w:val="0"/>
          <w:numId w:val="0"/>
        </w:numPr>
        <w:wordWrap/>
        <w:overflowPunct/>
        <w:topLinePunct w:val="0"/>
        <w:bidi w:val="0"/>
        <w:spacing w:beforeAutospacing="0" w:afterAutospacing="0" w:line="44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pacing w:val="0"/>
          <w:sz w:val="32"/>
          <w:szCs w:val="32"/>
        </w:rPr>
        <w:t>罚款</w:t>
      </w:r>
      <w:r>
        <w:rPr>
          <w:rFonts w:hint="eastAsia" w:ascii="仿宋" w:hAnsi="仿宋" w:eastAsia="仿宋" w:cs="仿宋"/>
          <w:color w:val="auto"/>
          <w:spacing w:val="0"/>
          <w:sz w:val="32"/>
          <w:szCs w:val="32"/>
          <w:lang w:val="en-US" w:eastAsia="zh-CN"/>
        </w:rPr>
        <w:t>200</w:t>
      </w:r>
      <w:r>
        <w:rPr>
          <w:rFonts w:hint="eastAsia" w:ascii="仿宋" w:hAnsi="仿宋" w:eastAsia="仿宋" w:cs="仿宋"/>
          <w:color w:val="auto"/>
          <w:spacing w:val="0"/>
          <w:sz w:val="32"/>
          <w:szCs w:val="32"/>
        </w:rPr>
        <w:t>0元。</w:t>
      </w:r>
    </w:p>
    <w:p>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pPr>
        <w:shd w:val="clear" w:color="auto" w:fill="FFFFFF"/>
        <w:kinsoku/>
        <w:autoSpaceDE/>
        <w:autoSpaceDN/>
        <w:adjustRightInd/>
        <w:snapToGrid/>
        <w:spacing w:line="500" w:lineRule="exact"/>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pPr>
        <w:widowControl w:val="0"/>
        <w:kinsoku/>
        <w:autoSpaceDE/>
        <w:autoSpaceDN/>
        <w:adjustRightInd/>
        <w:snapToGrid/>
        <w:spacing w:line="500" w:lineRule="exact"/>
        <w:ind w:right="640" w:firstLine="4960" w:firstLineChars="155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3</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8</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17</w:t>
      </w:r>
      <w:r>
        <w:rPr>
          <w:rFonts w:hint="eastAsia" w:ascii="仿宋" w:hAnsi="仿宋" w:eastAsia="仿宋" w:cs="仿宋"/>
          <w:snapToGrid/>
          <w:color w:val="auto"/>
          <w:kern w:val="2"/>
          <w:sz w:val="32"/>
          <w:szCs w:val="32"/>
        </w:rPr>
        <w:t>日</w:t>
      </w:r>
    </w:p>
    <w:p>
      <w:pPr>
        <w:widowControl w:val="0"/>
        <w:kinsoku/>
        <w:autoSpaceDE/>
        <w:autoSpaceDN/>
        <w:adjustRightInd/>
        <w:snapToGrid/>
        <w:spacing w:line="500" w:lineRule="exact"/>
        <w:jc w:val="center"/>
        <w:textAlignment w:val="auto"/>
        <w:rPr>
          <w:rFonts w:hint="eastAsia" w:ascii="仿宋" w:hAnsi="仿宋" w:eastAsia="仿宋" w:cs="仿宋"/>
          <w:snapToGrid/>
          <w:color w:val="auto"/>
          <w:kern w:val="2"/>
          <w:sz w:val="32"/>
          <w:szCs w:val="32"/>
        </w:rPr>
      </w:pPr>
    </w:p>
    <w:p>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pPr>
        <w:widowControl w:val="0"/>
        <w:kinsoku/>
        <w:autoSpaceDE/>
        <w:autoSpaceDN/>
        <w:adjustRightInd/>
        <w:snapToGrid/>
        <w:spacing w:line="500" w:lineRule="exact"/>
        <w:jc w:val="both"/>
        <w:textAlignment w:val="auto"/>
        <w:rPr>
          <w:rFonts w:ascii="仿宋" w:hAnsi="仿宋" w:eastAsia="仿宋" w:cs="Times New Roman"/>
          <w:snapToGrid/>
          <w:color w:val="auto"/>
          <w:kern w:val="2"/>
          <w:sz w:val="32"/>
          <w:szCs w:val="32"/>
        </w:rPr>
      </w:pPr>
    </w:p>
    <w:p>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41D0D35"/>
    <w:rsid w:val="07FF2725"/>
    <w:rsid w:val="0917628E"/>
    <w:rsid w:val="10C6484C"/>
    <w:rsid w:val="13BC689B"/>
    <w:rsid w:val="14A97D5E"/>
    <w:rsid w:val="14DF78C9"/>
    <w:rsid w:val="16072C5A"/>
    <w:rsid w:val="16E01CFA"/>
    <w:rsid w:val="19304F01"/>
    <w:rsid w:val="1A71513E"/>
    <w:rsid w:val="1B676EF9"/>
    <w:rsid w:val="1FDE6AB6"/>
    <w:rsid w:val="207675D0"/>
    <w:rsid w:val="21971938"/>
    <w:rsid w:val="253A78A8"/>
    <w:rsid w:val="274B7363"/>
    <w:rsid w:val="3004655E"/>
    <w:rsid w:val="318C6D43"/>
    <w:rsid w:val="33AE01CB"/>
    <w:rsid w:val="351B270F"/>
    <w:rsid w:val="35715037"/>
    <w:rsid w:val="389B14CB"/>
    <w:rsid w:val="3A3F5336"/>
    <w:rsid w:val="3C463CF4"/>
    <w:rsid w:val="3CE15594"/>
    <w:rsid w:val="467A5F3B"/>
    <w:rsid w:val="48AF5F4D"/>
    <w:rsid w:val="49AC12E3"/>
    <w:rsid w:val="4A8616BE"/>
    <w:rsid w:val="4E5B7257"/>
    <w:rsid w:val="555317BC"/>
    <w:rsid w:val="55F32F59"/>
    <w:rsid w:val="56B81BAC"/>
    <w:rsid w:val="5A344424"/>
    <w:rsid w:val="5C4D737E"/>
    <w:rsid w:val="5D325865"/>
    <w:rsid w:val="5E4D7DDD"/>
    <w:rsid w:val="642121F0"/>
    <w:rsid w:val="6C2A5CBF"/>
    <w:rsid w:val="6E0F7C10"/>
    <w:rsid w:val="73D84F88"/>
    <w:rsid w:val="753E73FC"/>
    <w:rsid w:val="784F608F"/>
    <w:rsid w:val="78FE3786"/>
    <w:rsid w:val="7BBC4E58"/>
    <w:rsid w:val="7C522CCA"/>
    <w:rsid w:val="7D847996"/>
    <w:rsid w:val="7EA3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1679</Words>
  <Characters>1790</Characters>
  <Lines>18</Lines>
  <Paragraphs>5</Paragraphs>
  <TotalTime>6</TotalTime>
  <ScaleCrop>false</ScaleCrop>
  <LinksUpToDate>false</LinksUpToDate>
  <CharactersWithSpaces>1875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2023-08-08T01:07:00Z</cp:lastPrinted>
  <dcterms:modified xsi:type="dcterms:W3CDTF">2023-08-24T02:06:20Z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58A4F54D38354B68BE89205DAFF8A940</vt:lpwstr>
  </property>
</Properties>
</file>