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94" w:lineRule="exact"/>
        <w:ind w:firstLineChars="200" w:firstLine="640"/>
        <w:jc w:val="center"/>
        <w:rPr>
          <w:rFonts w:ascii="方正小标宋简体" w:eastAsia="方正小标宋简体" w:cs="宋体-方正超大字符集"/>
          <w:sz w:val="32"/>
          <w:szCs w:val="32"/>
        </w:rPr>
      </w:pPr>
      <w:r>
        <w:rPr>
          <w:rFonts w:ascii="方正小标宋简体" w:eastAsia="方正小标宋简体" w:cs="宋体-方正超大字符集" w:hint="eastAsia"/>
          <w:sz w:val="32"/>
          <w:szCs w:val="32"/>
        </w:rPr>
        <w:t>2023年秦皇岛市保温材料产品质量监督抽查实施细则</w:t>
      </w:r>
    </w:p>
    <w:p>
      <w:pPr>
        <w:spacing w:beforeLines="100" w:before="312" w:afterLines="100" w:after="312"/>
        <w:jc w:val="left"/>
        <w:rPr>
          <w:rFonts w:ascii="黑体" w:eastAsia="黑体"/>
          <w:szCs w:val="21"/>
        </w:rPr>
      </w:pPr>
      <w:r>
        <w:rPr>
          <w:rFonts w:ascii="黑体" w:eastAsia="黑体" w:hint="eastAsia"/>
          <w:szCs w:val="21"/>
        </w:rPr>
        <w:t>1抽样方法</w:t>
      </w:r>
    </w:p>
    <w:p>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cs="宋体" w:hint="eastAsia"/>
          <w:szCs w:val="21"/>
        </w:rPr>
        <w:t>。</w:t>
      </w:r>
    </w:p>
    <w:p>
      <w:pPr>
        <w:spacing w:line="440" w:lineRule="exact"/>
        <w:ind w:firstLineChars="200" w:firstLine="420"/>
        <w:rPr>
          <w:szCs w:val="21"/>
        </w:rPr>
      </w:pPr>
      <w:r>
        <w:rPr>
          <w:rFonts w:hint="eastAsia"/>
          <w:szCs w:val="21"/>
        </w:rPr>
        <w:t>每批产品抽取样品数量应根据选择的检验项目确定抽样数量。</w:t>
      </w:r>
    </w:p>
    <w:p>
      <w:pPr>
        <w:pStyle w:val="45"/>
        <w:ind w:leftChars="0" w:left="0"/>
        <w:jc w:val="center"/>
      </w:pPr>
      <w:r>
        <w:rPr>
          <w:rFonts w:hint="eastAsia"/>
          <w:szCs w:val="21"/>
        </w:rPr>
        <w:t>表1 抽样数量</w:t>
      </w:r>
    </w:p>
    <w:tbl>
      <w:tblPr>
        <w:jc w:val="left"/>
        <w:tblInd w:w="76" w:type="dxa"/>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15"/>
        <w:gridCol w:w="1878"/>
        <w:gridCol w:w="1777"/>
        <w:gridCol w:w="1718"/>
        <w:gridCol w:w="2709"/>
      </w:tblGrid>
      <w:tr>
        <w:trPr>
          <w:trHeight w:val="271"/>
        </w:trPr>
        <w:tc>
          <w:tcPr>
            <w:tcW w:w="615"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序号</w:t>
            </w:r>
          </w:p>
        </w:tc>
        <w:tc>
          <w:tcPr>
            <w:tcW w:w="187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明示标准</w:t>
            </w:r>
          </w:p>
        </w:tc>
        <w:tc>
          <w:tcPr>
            <w:tcW w:w="1777"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产品名称</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产品型号</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抽样数量</w:t>
            </w:r>
          </w:p>
        </w:tc>
      </w:tr>
      <w:tr>
        <w:trPr>
          <w:trHeight w:val="795"/>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GB/T10801.2-2018</w:t>
            </w:r>
          </w:p>
        </w:tc>
        <w:tc>
          <w:tcPr>
            <w:tcW w:w="1777"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绝热用挤塑聚苯乙烯泡沫塑料（XPS）</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燃烧性能B1级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尺寸不小于1200mm×600mm的样品32块（检验用样品16块，备用样品16块）</w:t>
            </w:r>
          </w:p>
        </w:tc>
      </w:tr>
      <w:tr>
        <w:trPr>
          <w:trHeight w:val="795"/>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tcBorders>
              <w:top w:val="single" w:sz="4" w:space="0" w:color="auto"/>
              <w:left w:val="single" w:sz="4" w:space="0" w:color="auto"/>
              <w:bottom w:val="single" w:sz="4" w:space="0" w:color="auto"/>
              <w:right w:val="single" w:sz="4" w:space="0" w:color="auto"/>
            </w:tcBorders>
            <w:vAlign w:val="center"/>
          </w:tcPr>
          <w:p/>
        </w:tc>
        <w:tc>
          <w:tcPr>
            <w:tcW w:w="1777"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绝热用挤塑聚苯乙烯泡沫塑料（XPS）</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燃烧性能B2级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尺寸不小于1200mm×600mm的样品16块（检验用样品8块，备用样品8块）</w:t>
            </w:r>
          </w:p>
        </w:tc>
      </w:tr>
      <w:tr>
        <w:trPr>
          <w:trHeight w:val="1320"/>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JG/T 536-2017</w:t>
            </w:r>
          </w:p>
        </w:tc>
        <w:tc>
          <w:tcPr>
            <w:tcW w:w="1777"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热固复合聚苯乙烯泡沫保温板</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D型040级、G型050级、G型060级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尺寸不小于1200mm×600mm的样品32块（检验用样品16块，备用样品16块）、或600mm×600mm的样品64块（检验用样品32块，备用样品32块）</w:t>
            </w:r>
          </w:p>
        </w:tc>
      </w:tr>
      <w:tr>
        <w:trPr>
          <w:trHeight w:val="533"/>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ascii="宋体" w:eastAsia="宋体" w:cs="宋体"/>
                <w:sz w:val="18"/>
                <w:szCs w:val="18"/>
              </w:rPr>
            </w:pPr>
            <w:r>
              <w:rPr>
                <w:rFonts w:ascii="宋体" w:eastAsia="宋体" w:cs="宋体" w:hint="eastAsia"/>
                <w:sz w:val="18"/>
                <w:szCs w:val="18"/>
              </w:rPr>
              <w:t>企业标准、团体标准、地方标准、及产品明示质量要求，燃烧性能依据GB 8624-2012</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墙体保温材料</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燃烧性能A（A1）级、B2（E）级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500mm×500mm的样品8块（检验用样品4块，备用样品4块）</w:t>
            </w:r>
          </w:p>
        </w:tc>
      </w:tr>
      <w:tr>
        <w:trPr>
          <w:trHeight w:val="795"/>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tcBorders>
              <w:top w:val="single" w:sz="4" w:space="0" w:color="auto"/>
              <w:left w:val="single" w:sz="4" w:space="0" w:color="auto"/>
              <w:bottom w:val="single" w:sz="4" w:space="0" w:color="auto"/>
              <w:right w:val="single" w:sz="4" w:space="0" w:color="auto"/>
            </w:tcBorders>
            <w:vAlign w:val="center"/>
          </w:tcPr>
          <w:p/>
        </w:tc>
        <w:tc>
          <w:tcPr>
            <w:tcW w:w="1777" w:type="dxa"/>
            <w:vMerge/>
            <w:tcBorders>
              <w:top w:val="single" w:sz="4" w:space="0" w:color="auto"/>
              <w:left w:val="single" w:sz="4" w:space="0" w:color="auto"/>
              <w:bottom w:val="single" w:sz="4" w:space="0" w:color="auto"/>
              <w:right w:val="single" w:sz="4" w:space="0" w:color="auto"/>
            </w:tcBorders>
            <w:vAlign w:val="center"/>
          </w:tcP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燃烧性能A（A2）级、B1（B）级、B1（C）级B2（D）级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尺寸不小于1200mm×600mm的样品32块（检验用样品16块，备用样品16块）</w:t>
            </w:r>
          </w:p>
        </w:tc>
      </w:tr>
      <w:tr>
        <w:trPr>
          <w:trHeight w:val="1058"/>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tcBorders>
              <w:top w:val="single" w:sz="4" w:space="0" w:color="auto"/>
              <w:left w:val="single" w:sz="4" w:space="0" w:color="auto"/>
              <w:bottom w:val="single" w:sz="4" w:space="0" w:color="auto"/>
              <w:right w:val="single" w:sz="4" w:space="0" w:color="auto"/>
            </w:tcBorders>
            <w:vAlign w:val="center"/>
          </w:tcPr>
          <w:p/>
        </w:tc>
        <w:tc>
          <w:tcPr>
            <w:tcW w:w="1777" w:type="dxa"/>
            <w:vMerge/>
            <w:tcBorders>
              <w:top w:val="single" w:sz="4" w:space="0" w:color="auto"/>
              <w:left w:val="single" w:sz="4" w:space="0" w:color="auto"/>
              <w:bottom w:val="single" w:sz="4" w:space="0" w:color="auto"/>
              <w:right w:val="single" w:sz="4" w:space="0" w:color="auto"/>
            </w:tcBorders>
            <w:vAlign w:val="center"/>
          </w:tcP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复合一体化保温板：防火层A（A2）级-热值；保温层B1级/B2级-氧指数</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500mm×500mm的样品4块（检验用样品2块，备用样品2块）</w:t>
            </w:r>
          </w:p>
        </w:tc>
      </w:tr>
      <w:tr>
        <w:trPr>
          <w:trHeight w:val="1058"/>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GB/T 10801.1-2021</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绝热用模塑聚苯乙烯泡沫塑料（EPS）</w:t>
            </w: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B1级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rPr>
                <w:rFonts w:ascii="宋体" w:eastAsia="宋体" w:cs="宋体"/>
                <w:sz w:val="18"/>
                <w:szCs w:val="18"/>
              </w:rPr>
            </w:pPr>
            <w:r>
              <w:rPr>
                <w:rFonts w:ascii="宋体" w:eastAsia="宋体" w:cs="宋体" w:hint="eastAsia"/>
                <w:sz w:val="18"/>
                <w:szCs w:val="18"/>
              </w:rPr>
              <w:t>尺寸不小于1200mm×600mm的样品32块（检验用样品16块，备用样品16块）或检备样检备样各不少于10㎡</w:t>
            </w:r>
          </w:p>
        </w:tc>
      </w:tr>
      <w:tr>
        <w:trPr>
          <w:trHeight w:val="874"/>
        </w:trPr>
        <w:tc>
          <w:tcPr>
            <w:tcW w:w="615" w:type="dxa"/>
            <w:tcBorders>
              <w:top w:val="single" w:sz="4" w:space="0" w:color="auto"/>
              <w:left w:val="single" w:sz="4" w:space="0" w:color="auto"/>
              <w:bottom w:val="single" w:sz="4" w:space="0" w:color="auto"/>
              <w:right w:val="single" w:sz="4" w:space="0" w:color="auto"/>
            </w:tcBorders>
            <w:vAlign w:val="center"/>
          </w:tcPr>
          <w:p>
            <w:pPr>
              <w:numPr>
                <w:ilvl w:val="0"/>
                <w:numId w:val="1"/>
              </w:numPr>
              <w:tabs>
                <w:tab w:val="left" w:pos="420"/>
              </w:tabs>
              <w:spacing w:line="280" w:lineRule="exact"/>
              <w:jc w:val="center"/>
              <w:rPr>
                <w:rFonts w:ascii="宋体" w:eastAsia="宋体" w:cs="宋体"/>
                <w:sz w:val="18"/>
                <w:szCs w:val="18"/>
              </w:rPr>
            </w:pPr>
          </w:p>
        </w:tc>
        <w:tc>
          <w:tcPr>
            <w:tcW w:w="1878" w:type="dxa"/>
            <w:vMerge/>
            <w:tcBorders>
              <w:top w:val="single" w:sz="4" w:space="0" w:color="auto"/>
              <w:left w:val="single" w:sz="4" w:space="0" w:color="auto"/>
              <w:bottom w:val="single" w:sz="4" w:space="0" w:color="auto"/>
              <w:right w:val="single" w:sz="4" w:space="0" w:color="auto"/>
            </w:tcBorders>
            <w:vAlign w:val="center"/>
          </w:tcPr>
          <w:p/>
        </w:tc>
        <w:tc>
          <w:tcPr>
            <w:tcW w:w="1777" w:type="dxa"/>
            <w:vMerge/>
            <w:tcBorders>
              <w:top w:val="single" w:sz="4" w:space="0" w:color="auto"/>
              <w:left w:val="single" w:sz="4" w:space="0" w:color="auto"/>
              <w:bottom w:val="single" w:sz="4" w:space="0" w:color="auto"/>
              <w:right w:val="single" w:sz="4" w:space="0" w:color="auto"/>
            </w:tcBorders>
            <w:vAlign w:val="center"/>
          </w:tcPr>
          <w:p/>
        </w:tc>
        <w:tc>
          <w:tcPr>
            <w:tcW w:w="1718"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ascii="宋体" w:eastAsia="宋体" w:cs="宋体"/>
                <w:sz w:val="18"/>
                <w:szCs w:val="18"/>
              </w:rPr>
            </w:pPr>
            <w:r>
              <w:rPr>
                <w:rFonts w:ascii="宋体" w:eastAsia="宋体" w:cs="宋体" w:hint="eastAsia"/>
                <w:sz w:val="18"/>
                <w:szCs w:val="18"/>
              </w:rPr>
              <w:t>B2级、B3级</w:t>
            </w:r>
          </w:p>
        </w:tc>
        <w:tc>
          <w:tcPr>
            <w:tcW w:w="2709" w:type="dxa"/>
            <w:tcBorders>
              <w:top w:val="single" w:sz="4" w:space="0" w:color="auto"/>
              <w:left w:val="single" w:sz="4" w:space="0" w:color="auto"/>
              <w:bottom w:val="single" w:sz="4" w:space="0" w:color="auto"/>
              <w:right w:val="single" w:sz="4" w:space="0" w:color="auto"/>
            </w:tcBorders>
            <w:vAlign w:val="center"/>
          </w:tcPr>
          <w:p>
            <w:pPr>
              <w:spacing w:line="280" w:lineRule="exact"/>
              <w:rPr>
                <w:rFonts w:ascii="宋体" w:eastAsia="宋体" w:cs="宋体"/>
                <w:sz w:val="18"/>
                <w:szCs w:val="18"/>
              </w:rPr>
            </w:pPr>
            <w:r>
              <w:rPr>
                <w:rFonts w:ascii="宋体" w:eastAsia="宋体" w:cs="宋体" w:hint="eastAsia"/>
                <w:sz w:val="18"/>
                <w:szCs w:val="18"/>
              </w:rPr>
              <w:t>尺寸不小于500mm×500mm×50mm的样品8块（检验用样品4块，备用样品4块）</w:t>
            </w:r>
          </w:p>
        </w:tc>
      </w:tr>
    </w:tbl>
    <w:p>
      <w:pPr>
        <w:spacing w:beforeLines="100" w:before="312" w:afterLines="100" w:after="312"/>
        <w:jc w:val="left"/>
        <w:rPr>
          <w:rFonts w:ascii="黑体" w:eastAsia="黑体"/>
          <w:szCs w:val="21"/>
        </w:rPr>
      </w:pPr>
      <w:r>
        <w:rPr>
          <w:rFonts w:ascii="黑体" w:eastAsia="黑体" w:hint="eastAsia"/>
          <w:szCs w:val="21"/>
        </w:rPr>
        <w:t>2抽查产品名称及执行标准</w:t>
      </w:r>
    </w:p>
    <w:p>
      <w:pPr>
        <w:ind w:firstLineChars="200" w:firstLine="420"/>
        <w:rPr>
          <w:szCs w:val="21"/>
        </w:rPr>
      </w:pPr>
      <w:r>
        <w:rPr>
          <w:rFonts w:hint="eastAsia"/>
          <w:szCs w:val="21"/>
        </w:rPr>
        <w:t>本次抽查的产品名称主要为：保温材料，各产品执行标准见下表。</w:t>
      </w:r>
    </w:p>
    <w:p>
      <w:pPr>
        <w:pStyle w:val="45"/>
        <w:ind w:leftChars="0" w:left="0"/>
        <w:jc w:val="center"/>
      </w:pPr>
      <w:r>
        <w:rPr>
          <w:rFonts w:hint="eastAsia"/>
          <w:szCs w:val="21"/>
        </w:rPr>
        <w:t>表2 产品名称及执行标准</w:t>
      </w:r>
    </w:p>
    <w:tbl>
      <w:tblPr>
        <w:jc w:val="cente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47"/>
        <w:gridCol w:w="2380"/>
        <w:gridCol w:w="2835"/>
        <w:gridCol w:w="2854"/>
      </w:tblGrid>
      <w:t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440" w:lineRule="exact"/>
              <w:jc w:val="center"/>
              <w:rPr>
                <w:rFonts w:ascii="宋体" w:eastAsia="宋体" w:cs="宋体"/>
                <w:szCs w:val="21"/>
              </w:rPr>
            </w:pPr>
            <w:r>
              <w:rPr>
                <w:rFonts w:ascii="宋体" w:eastAsia="宋体" w:cs="宋体" w:hint="eastAsia"/>
                <w:szCs w:val="21"/>
              </w:rPr>
              <w:t>序号</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440" w:lineRule="exact"/>
              <w:ind w:firstLineChars="200" w:firstLine="420"/>
              <w:jc w:val="center"/>
              <w:rPr>
                <w:rFonts w:ascii="宋体" w:eastAsia="宋体" w:cs="宋体"/>
                <w:szCs w:val="21"/>
              </w:rPr>
            </w:pPr>
            <w:r>
              <w:rPr>
                <w:rFonts w:ascii="宋体" w:eastAsia="宋体" w:cs="宋体" w:hint="eastAsia"/>
                <w:szCs w:val="21"/>
              </w:rPr>
              <w:t>产品名称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440" w:lineRule="exact"/>
              <w:ind w:firstLineChars="200" w:firstLine="420"/>
              <w:jc w:val="center"/>
              <w:rPr>
                <w:rFonts w:ascii="宋体" w:eastAsia="宋体" w:cs="宋体"/>
                <w:szCs w:val="21"/>
              </w:rPr>
            </w:pPr>
            <w:r>
              <w:rPr>
                <w:rFonts w:ascii="宋体" w:eastAsia="宋体" w:cs="宋体" w:hint="eastAsia"/>
                <w:szCs w:val="21"/>
              </w:rPr>
              <w:t>标准编号</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440" w:lineRule="exact"/>
              <w:ind w:firstLineChars="200" w:firstLine="420"/>
              <w:jc w:val="center"/>
              <w:rPr>
                <w:rFonts w:ascii="宋体" w:eastAsia="宋体" w:cs="宋体"/>
                <w:szCs w:val="21"/>
              </w:rPr>
            </w:pPr>
            <w:r>
              <w:rPr>
                <w:rFonts w:ascii="宋体" w:eastAsia="宋体" w:cs="宋体" w:hint="eastAsia"/>
                <w:szCs w:val="21"/>
              </w:rPr>
              <w:t>标准名称</w:t>
            </w:r>
          </w:p>
        </w:tc>
      </w:tr>
      <w:tr>
        <w:trPr>
          <w:trHeight w:val="23"/>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1</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cs="宋体"/>
                <w:szCs w:val="21"/>
              </w:rPr>
            </w:pPr>
            <w:r>
              <w:rPr>
                <w:rFonts w:ascii="宋体" w:eastAsia="宋体" w:cs="宋体" w:hint="eastAsia"/>
                <w:szCs w:val="21"/>
              </w:rPr>
              <w:t>绝热用挤塑聚苯乙烯泡沫塑料（XPS）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GB/T10801.2-2018</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《绝热用挤塑聚苯乙烯泡沫塑料（XPS）》</w:t>
            </w:r>
          </w:p>
        </w:tc>
      </w:tr>
      <w:tr>
        <w:trPr>
          <w:trHeight w:val="23"/>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2</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cs="宋体"/>
                <w:szCs w:val="21"/>
              </w:rPr>
            </w:pPr>
            <w:r>
              <w:rPr>
                <w:rFonts w:ascii="宋体" w:eastAsia="宋体" w:cs="宋体" w:hint="eastAsia"/>
                <w:szCs w:val="21"/>
              </w:rPr>
              <w:t>热固复合聚苯乙烯泡沫保温板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JG/T 536-2017</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《热固复合聚苯乙烯泡沫保温板》</w:t>
            </w:r>
          </w:p>
        </w:tc>
      </w:tr>
      <w:tr>
        <w:trPr>
          <w:trHeight w:val="23"/>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3</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cs="宋体"/>
                <w:szCs w:val="21"/>
              </w:rPr>
            </w:pPr>
            <w:r>
              <w:rPr>
                <w:rFonts w:ascii="宋体" w:eastAsia="宋体" w:cs="宋体" w:hint="eastAsia"/>
                <w:szCs w:val="21"/>
              </w:rPr>
              <w:t>墙体保温材料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企业标准、团体标准、地方标准、及产品明示质量要求，燃烧性能依据GB 8624-2012</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《建筑材料及制品燃烧性能分级》</w:t>
            </w:r>
          </w:p>
        </w:tc>
      </w:tr>
      <w:tr>
        <w:trPr>
          <w:trHeight w:val="23"/>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4</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绝热用模塑聚苯乙烯泡沫塑料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GB/T 10801.1-2021</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pPr>
              <w:adjustRightInd w:val="0"/>
              <w:snapToGrid w:val="0"/>
              <w:spacing w:line="300" w:lineRule="exact"/>
              <w:jc w:val="center"/>
              <w:rPr>
                <w:rFonts w:ascii="宋体" w:eastAsia="宋体" w:cs="宋体"/>
                <w:szCs w:val="21"/>
              </w:rPr>
            </w:pPr>
            <w:r>
              <w:rPr>
                <w:rFonts w:ascii="宋体" w:eastAsia="宋体" w:cs="宋体" w:hint="eastAsia"/>
                <w:szCs w:val="21"/>
              </w:rPr>
              <w:t>《绝热用模塑聚苯乙烯泡沫塑料（EPS）》</w:t>
            </w:r>
          </w:p>
        </w:tc>
      </w:tr>
    </w:tbl>
    <w:p>
      <w:pPr>
        <w:spacing w:beforeLines="100" w:before="312" w:afterLines="100" w:after="312"/>
        <w:jc w:val="left"/>
        <w:rPr>
          <w:rFonts w:ascii="黑体" w:eastAsia="黑体"/>
          <w:szCs w:val="21"/>
        </w:rPr>
      </w:pPr>
      <w:r>
        <w:rPr>
          <w:rFonts w:ascii="黑体" w:eastAsia="黑体" w:hint="eastAsia"/>
          <w:szCs w:val="21"/>
        </w:rPr>
        <w:t>3检验依据</w:t>
      </w:r>
    </w:p>
    <w:p>
      <w:pPr>
        <w:spacing w:line="440" w:lineRule="exact"/>
        <w:jc w:val="center"/>
        <w:rPr>
          <w:szCs w:val="21"/>
        </w:rPr>
      </w:pPr>
      <w:r>
        <w:rPr>
          <w:rFonts w:hint="eastAsia"/>
          <w:szCs w:val="21"/>
        </w:rPr>
        <w:t>表3执行GB/T 10801.2-2018标准产品检验项目</w:t>
      </w:r>
    </w:p>
    <w:tbl>
      <w:tblPr>
        <w:jc w:val="cent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6"/>
        <w:gridCol w:w="643"/>
        <w:gridCol w:w="1663"/>
        <w:gridCol w:w="3009"/>
        <w:gridCol w:w="858"/>
        <w:gridCol w:w="1128"/>
      </w:tblGrid>
      <w:tr>
        <w:trPr>
          <w:trHeight w:val="526"/>
        </w:trPr>
        <w:tc>
          <w:tcPr>
            <w:tcW w:w="1056"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分类</w:t>
            </w:r>
          </w:p>
        </w:tc>
        <w:tc>
          <w:tcPr>
            <w:tcW w:w="6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序号</w:t>
            </w:r>
          </w:p>
        </w:tc>
        <w:tc>
          <w:tcPr>
            <w:tcW w:w="166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检验项目</w:t>
            </w:r>
          </w:p>
        </w:tc>
        <w:tc>
          <w:tcPr>
            <w:tcW w:w="300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检验方法</w:t>
            </w:r>
          </w:p>
        </w:tc>
        <w:tc>
          <w:tcPr>
            <w:tcW w:w="858" w:type="dxa"/>
            <w:tcBorders>
              <w:top w:val="single" w:sz="4" w:space="0" w:color="auto"/>
              <w:left w:val="single" w:sz="4" w:space="0" w:color="auto"/>
              <w:bottom w:val="single" w:sz="4" w:space="0" w:color="auto"/>
              <w:right w:val="single" w:sz="4" w:space="0" w:color="auto"/>
            </w:tcBorders>
            <w:vAlign w:val="center"/>
          </w:tcPr>
          <w:p>
            <w:pPr>
              <w:widowControl/>
              <w:spacing w:line="240" w:lineRule="atLeast"/>
              <w:jc w:val="center"/>
              <w:rPr>
                <w:rFonts w:ascii="宋体" w:eastAsia="宋体" w:cs="宋体"/>
                <w:szCs w:val="21"/>
              </w:rPr>
            </w:pPr>
            <w:r>
              <w:rPr>
                <w:rFonts w:ascii="宋体" w:eastAsia="宋体" w:cs="宋体" w:hint="eastAsia"/>
                <w:szCs w:val="21"/>
              </w:rPr>
              <w:t>重要程度分级</w:t>
            </w:r>
          </w:p>
        </w:tc>
        <w:tc>
          <w:tcPr>
            <w:tcW w:w="112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是否为环保指标</w:t>
            </w:r>
          </w:p>
        </w:tc>
      </w:tr>
      <w:tr>
        <w:trPr>
          <w:trHeight w:val="1043"/>
        </w:trPr>
        <w:tc>
          <w:tcPr>
            <w:tcW w:w="1056"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安全性能</w:t>
            </w:r>
          </w:p>
        </w:tc>
        <w:tc>
          <w:tcPr>
            <w:tcW w:w="6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66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燃烧性能</w:t>
            </w:r>
          </w:p>
        </w:tc>
        <w:tc>
          <w:tcPr>
            <w:tcW w:w="300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 8624-2012/5.1.1</w:t>
            </w:r>
          </w:p>
          <w:p>
            <w:pPr>
              <w:jc w:val="center"/>
              <w:rPr>
                <w:rFonts w:ascii="宋体" w:eastAsia="宋体" w:cs="宋体"/>
                <w:szCs w:val="21"/>
              </w:rPr>
            </w:pPr>
            <w:r>
              <w:rPr>
                <w:rFonts w:ascii="宋体" w:eastAsia="宋体" w:cs="宋体" w:hint="eastAsia"/>
                <w:szCs w:val="21"/>
              </w:rPr>
              <w:t>GB/T 20284-2006</w:t>
            </w:r>
          </w:p>
          <w:p>
            <w:pPr>
              <w:jc w:val="center"/>
              <w:rPr>
                <w:rFonts w:ascii="宋体" w:eastAsia="宋体" w:cs="宋体"/>
                <w:szCs w:val="21"/>
              </w:rPr>
            </w:pPr>
            <w:r>
              <w:rPr>
                <w:rFonts w:ascii="宋体" w:eastAsia="宋体" w:cs="宋体" w:hint="eastAsia"/>
                <w:szCs w:val="21"/>
              </w:rPr>
              <w:t>GB/T 8626-2007/表面点火方式</w:t>
            </w:r>
          </w:p>
          <w:p>
            <w:pPr>
              <w:jc w:val="center"/>
              <w:rPr>
                <w:rFonts w:ascii="宋体" w:eastAsia="宋体" w:cs="宋体"/>
                <w:szCs w:val="21"/>
              </w:rPr>
            </w:pPr>
            <w:r>
              <w:rPr>
                <w:rFonts w:ascii="宋体" w:eastAsia="宋体" w:cs="宋体" w:hint="eastAsia"/>
                <w:szCs w:val="21"/>
              </w:rPr>
              <w:t>GB/T 2406.2-2009/方法C</w:t>
            </w:r>
          </w:p>
        </w:tc>
        <w:tc>
          <w:tcPr>
            <w:tcW w:w="85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A</w:t>
            </w:r>
          </w:p>
        </w:tc>
        <w:tc>
          <w:tcPr>
            <w:tcW w:w="112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455"/>
        </w:trPr>
        <w:tc>
          <w:tcPr>
            <w:tcW w:w="105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主要性能</w:t>
            </w:r>
          </w:p>
        </w:tc>
        <w:tc>
          <w:tcPr>
            <w:tcW w:w="6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66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压缩强度</w:t>
            </w:r>
          </w:p>
        </w:tc>
        <w:tc>
          <w:tcPr>
            <w:tcW w:w="300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8813-2020</w:t>
            </w:r>
          </w:p>
        </w:tc>
        <w:tc>
          <w:tcPr>
            <w:tcW w:w="85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12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358"/>
        </w:trPr>
        <w:tc>
          <w:tcPr>
            <w:tcW w:w="1056" w:type="dxa"/>
            <w:vMerge/>
            <w:tcBorders>
              <w:top w:val="single" w:sz="4" w:space="0" w:color="auto"/>
              <w:left w:val="single" w:sz="4" w:space="0" w:color="auto"/>
              <w:bottom w:val="single" w:sz="4" w:space="0" w:color="auto"/>
              <w:right w:val="single" w:sz="4" w:space="0" w:color="auto"/>
            </w:tcBorders>
            <w:vAlign w:val="center"/>
          </w:tcPr>
          <w:p/>
        </w:tc>
        <w:tc>
          <w:tcPr>
            <w:tcW w:w="6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2</w:t>
            </w:r>
          </w:p>
        </w:tc>
        <w:tc>
          <w:tcPr>
            <w:tcW w:w="166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绝热性能</w:t>
            </w:r>
          </w:p>
        </w:tc>
        <w:tc>
          <w:tcPr>
            <w:tcW w:w="300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10294-2008</w:t>
            </w:r>
          </w:p>
        </w:tc>
        <w:tc>
          <w:tcPr>
            <w:tcW w:w="85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12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w:t>
            </w:r>
          </w:p>
        </w:tc>
      </w:tr>
    </w:tbl>
    <w:p>
      <w:pPr>
        <w:spacing w:line="440" w:lineRule="exact"/>
        <w:jc w:val="center"/>
        <w:rPr>
          <w:szCs w:val="21"/>
        </w:rPr>
      </w:pPr>
      <w:r>
        <w:rPr>
          <w:rFonts w:hint="eastAsia"/>
          <w:szCs w:val="21"/>
        </w:rPr>
        <w:t>表4 执行</w:t>
      </w:r>
      <w:r>
        <w:rPr>
          <w:szCs w:val="21"/>
        </w:rPr>
        <w:t>JG/T 536-2017</w:t>
      </w:r>
      <w:r>
        <w:rPr>
          <w:rFonts w:hint="eastAsia"/>
          <w:szCs w:val="21"/>
        </w:rPr>
        <w:t>标准的D型产品检验项目</w:t>
      </w:r>
    </w:p>
    <w:tbl>
      <w:tblPr>
        <w:jc w:val="cente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7"/>
        <w:gridCol w:w="614"/>
        <w:gridCol w:w="1597"/>
        <w:gridCol w:w="3059"/>
        <w:gridCol w:w="892"/>
        <w:gridCol w:w="1148"/>
      </w:tblGrid>
      <w:tr>
        <w:trPr>
          <w:trHeight w:val="590"/>
        </w:trPr>
        <w:tc>
          <w:tcPr>
            <w:tcW w:w="116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分类</w:t>
            </w:r>
          </w:p>
        </w:tc>
        <w:tc>
          <w:tcPr>
            <w:tcW w:w="61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序号</w:t>
            </w:r>
          </w:p>
        </w:tc>
        <w:tc>
          <w:tcPr>
            <w:tcW w:w="15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检验项目</w:t>
            </w:r>
          </w:p>
        </w:tc>
        <w:tc>
          <w:tcPr>
            <w:tcW w:w="305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检验方法</w:t>
            </w:r>
          </w:p>
        </w:tc>
        <w:tc>
          <w:tcPr>
            <w:tcW w:w="892" w:type="dxa"/>
            <w:tcBorders>
              <w:top w:val="single" w:sz="4" w:space="0" w:color="auto"/>
              <w:left w:val="single" w:sz="4" w:space="0" w:color="auto"/>
              <w:bottom w:val="single" w:sz="4" w:space="0" w:color="auto"/>
              <w:right w:val="single" w:sz="4" w:space="0" w:color="auto"/>
            </w:tcBorders>
            <w:vAlign w:val="center"/>
          </w:tcPr>
          <w:p>
            <w:pPr>
              <w:widowControl/>
              <w:spacing w:line="240" w:lineRule="atLeast"/>
              <w:jc w:val="center"/>
              <w:rPr>
                <w:rFonts w:ascii="宋体" w:eastAsia="宋体" w:cs="宋体"/>
                <w:szCs w:val="21"/>
              </w:rPr>
            </w:pPr>
            <w:r>
              <w:rPr>
                <w:rFonts w:ascii="宋体" w:eastAsia="宋体" w:cs="宋体" w:hint="eastAsia"/>
                <w:szCs w:val="21"/>
              </w:rPr>
              <w:t>重要程度分级</w:t>
            </w:r>
          </w:p>
        </w:tc>
        <w:tc>
          <w:tcPr>
            <w:tcW w:w="114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是否为环保指标</w:t>
            </w:r>
          </w:p>
        </w:tc>
      </w:tr>
      <w:tr>
        <w:trPr>
          <w:trHeight w:val="1170"/>
        </w:trPr>
        <w:tc>
          <w:tcPr>
            <w:tcW w:w="116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安全性能</w:t>
            </w:r>
          </w:p>
        </w:tc>
        <w:tc>
          <w:tcPr>
            <w:tcW w:w="61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5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燃烧性能</w:t>
            </w:r>
          </w:p>
        </w:tc>
        <w:tc>
          <w:tcPr>
            <w:tcW w:w="305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14402-2007/坩埚试验</w:t>
            </w:r>
          </w:p>
          <w:p>
            <w:pPr>
              <w:jc w:val="center"/>
              <w:rPr>
                <w:rFonts w:ascii="宋体" w:eastAsia="宋体" w:cs="宋体"/>
                <w:szCs w:val="21"/>
              </w:rPr>
            </w:pPr>
            <w:r>
              <w:rPr>
                <w:rFonts w:ascii="宋体" w:eastAsia="宋体" w:cs="宋体" w:hint="eastAsia"/>
                <w:szCs w:val="21"/>
              </w:rPr>
              <w:t>GB/T 20284-2006</w:t>
            </w:r>
          </w:p>
          <w:p>
            <w:pPr>
              <w:jc w:val="center"/>
              <w:rPr>
                <w:rFonts w:ascii="宋体" w:eastAsia="宋体" w:cs="宋体"/>
                <w:szCs w:val="21"/>
              </w:rPr>
            </w:pPr>
            <w:r>
              <w:rPr>
                <w:rFonts w:ascii="宋体" w:eastAsia="宋体" w:cs="宋体" w:hint="eastAsia"/>
                <w:szCs w:val="21"/>
              </w:rPr>
              <w:t>GB/T 8626-2007/表面点火方式</w:t>
            </w:r>
          </w:p>
          <w:p>
            <w:pPr>
              <w:jc w:val="center"/>
              <w:rPr>
                <w:rFonts w:ascii="宋体" w:eastAsia="宋体" w:cs="宋体"/>
                <w:szCs w:val="21"/>
              </w:rPr>
            </w:pPr>
            <w:r>
              <w:rPr>
                <w:rFonts w:ascii="宋体" w:eastAsia="宋体" w:cs="宋体" w:hint="eastAsia"/>
                <w:szCs w:val="21"/>
              </w:rPr>
              <w:t>GB/T 2406.2-2009/方法C</w:t>
            </w:r>
          </w:p>
        </w:tc>
        <w:tc>
          <w:tcPr>
            <w:tcW w:w="8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A</w:t>
            </w:r>
          </w:p>
        </w:tc>
        <w:tc>
          <w:tcPr>
            <w:tcW w:w="114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555"/>
        </w:trPr>
        <w:tc>
          <w:tcPr>
            <w:tcW w:w="1167"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主要性能</w:t>
            </w:r>
          </w:p>
        </w:tc>
        <w:tc>
          <w:tcPr>
            <w:tcW w:w="61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5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密度</w:t>
            </w:r>
          </w:p>
        </w:tc>
        <w:tc>
          <w:tcPr>
            <w:tcW w:w="305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6343-2009</w:t>
            </w:r>
          </w:p>
        </w:tc>
        <w:tc>
          <w:tcPr>
            <w:tcW w:w="8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14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435"/>
        </w:trPr>
        <w:tc>
          <w:tcPr>
            <w:tcW w:w="1167" w:type="dxa"/>
            <w:vMerge/>
            <w:tcBorders>
              <w:top w:val="single" w:sz="4" w:space="0" w:color="auto"/>
              <w:left w:val="single" w:sz="4" w:space="0" w:color="auto"/>
              <w:bottom w:val="single" w:sz="4" w:space="0" w:color="auto"/>
              <w:right w:val="single" w:sz="4" w:space="0" w:color="auto"/>
            </w:tcBorders>
            <w:vAlign w:val="center"/>
          </w:tcPr>
          <w:p/>
        </w:tc>
        <w:tc>
          <w:tcPr>
            <w:tcW w:w="61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2</w:t>
            </w:r>
          </w:p>
        </w:tc>
        <w:tc>
          <w:tcPr>
            <w:tcW w:w="15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导热系数</w:t>
            </w:r>
          </w:p>
        </w:tc>
        <w:tc>
          <w:tcPr>
            <w:tcW w:w="305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10294-2008</w:t>
            </w:r>
          </w:p>
        </w:tc>
        <w:tc>
          <w:tcPr>
            <w:tcW w:w="8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14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w:t>
            </w:r>
          </w:p>
        </w:tc>
      </w:tr>
      <w:tr>
        <w:trPr>
          <w:trHeight w:val="300"/>
        </w:trPr>
        <w:tc>
          <w:tcPr>
            <w:tcW w:w="1167" w:type="dxa"/>
            <w:vMerge/>
            <w:tcBorders>
              <w:top w:val="single" w:sz="4" w:space="0" w:color="auto"/>
              <w:left w:val="single" w:sz="4" w:space="0" w:color="auto"/>
              <w:bottom w:val="single" w:sz="4" w:space="0" w:color="auto"/>
              <w:right w:val="single" w:sz="4" w:space="0" w:color="auto"/>
            </w:tcBorders>
            <w:vAlign w:val="center"/>
          </w:tcPr>
          <w:p/>
        </w:tc>
        <w:tc>
          <w:tcPr>
            <w:tcW w:w="614"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3</w:t>
            </w:r>
          </w:p>
        </w:tc>
        <w:tc>
          <w:tcPr>
            <w:tcW w:w="15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压缩强度</w:t>
            </w:r>
          </w:p>
        </w:tc>
        <w:tc>
          <w:tcPr>
            <w:tcW w:w="3059"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8813-2020</w:t>
            </w:r>
          </w:p>
        </w:tc>
        <w:tc>
          <w:tcPr>
            <w:tcW w:w="8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148"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bl>
    <w:p>
      <w:pPr>
        <w:spacing w:line="440" w:lineRule="exact"/>
        <w:jc w:val="center"/>
        <w:rPr>
          <w:szCs w:val="21"/>
        </w:rPr>
      </w:pPr>
      <w:r>
        <w:rPr>
          <w:rFonts w:hint="eastAsia"/>
          <w:szCs w:val="21"/>
        </w:rPr>
        <w:t>表5执行</w:t>
      </w:r>
      <w:r>
        <w:rPr>
          <w:szCs w:val="21"/>
        </w:rPr>
        <w:t>JG/T 536-2017</w:t>
      </w:r>
      <w:r>
        <w:rPr>
          <w:rFonts w:hint="eastAsia"/>
          <w:szCs w:val="21"/>
        </w:rPr>
        <w:t>标准的G型产品检验项目</w:t>
      </w:r>
    </w:p>
    <w:tbl>
      <w:tblPr>
        <w:jc w:val="center"/>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0"/>
        <w:gridCol w:w="740"/>
        <w:gridCol w:w="1402"/>
        <w:gridCol w:w="3073"/>
        <w:gridCol w:w="850"/>
        <w:gridCol w:w="1092"/>
      </w:tblGrid>
      <w:tr>
        <w:trPr>
          <w:trHeight w:val="570"/>
        </w:trPr>
        <w:tc>
          <w:tcPr>
            <w:tcW w:w="116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分类</w:t>
            </w:r>
          </w:p>
        </w:tc>
        <w:tc>
          <w:tcPr>
            <w:tcW w:w="7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序号</w:t>
            </w:r>
          </w:p>
        </w:tc>
        <w:tc>
          <w:tcPr>
            <w:tcW w:w="14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检验项目</w:t>
            </w:r>
          </w:p>
        </w:tc>
        <w:tc>
          <w:tcPr>
            <w:tcW w:w="30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检验方法</w:t>
            </w:r>
          </w:p>
        </w:tc>
        <w:tc>
          <w:tcPr>
            <w:tcW w:w="850" w:type="dxa"/>
            <w:tcBorders>
              <w:top w:val="single" w:sz="4" w:space="0" w:color="auto"/>
              <w:left w:val="single" w:sz="4" w:space="0" w:color="auto"/>
              <w:bottom w:val="single" w:sz="4" w:space="0" w:color="auto"/>
              <w:right w:val="single" w:sz="4" w:space="0" w:color="auto"/>
            </w:tcBorders>
            <w:vAlign w:val="center"/>
          </w:tcPr>
          <w:p>
            <w:pPr>
              <w:widowControl/>
              <w:spacing w:line="240" w:lineRule="atLeast"/>
              <w:jc w:val="center"/>
              <w:rPr>
                <w:rFonts w:ascii="宋体" w:eastAsia="宋体" w:cs="宋体"/>
                <w:szCs w:val="21"/>
              </w:rPr>
            </w:pPr>
            <w:r>
              <w:rPr>
                <w:rFonts w:ascii="宋体" w:eastAsia="宋体" w:cs="宋体" w:hint="eastAsia"/>
                <w:szCs w:val="21"/>
              </w:rPr>
              <w:t>重要程度分级</w:t>
            </w:r>
          </w:p>
        </w:tc>
        <w:tc>
          <w:tcPr>
            <w:tcW w:w="10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是否为环保指标</w:t>
            </w:r>
          </w:p>
        </w:tc>
      </w:tr>
      <w:tr>
        <w:trPr>
          <w:trHeight w:val="1131"/>
        </w:trPr>
        <w:tc>
          <w:tcPr>
            <w:tcW w:w="116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安全性能</w:t>
            </w:r>
          </w:p>
        </w:tc>
        <w:tc>
          <w:tcPr>
            <w:tcW w:w="7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燃烧性能</w:t>
            </w:r>
          </w:p>
        </w:tc>
        <w:tc>
          <w:tcPr>
            <w:tcW w:w="30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14402-2007/坩埚试验</w:t>
            </w:r>
          </w:p>
          <w:p>
            <w:pPr>
              <w:jc w:val="center"/>
              <w:rPr>
                <w:rFonts w:ascii="宋体" w:eastAsia="宋体" w:cs="宋体"/>
                <w:szCs w:val="21"/>
              </w:rPr>
            </w:pPr>
            <w:r>
              <w:rPr>
                <w:rFonts w:ascii="宋体" w:eastAsia="宋体" w:cs="宋体" w:hint="eastAsia"/>
                <w:szCs w:val="21"/>
              </w:rPr>
              <w:t>GB/T 20284-2006</w:t>
            </w:r>
          </w:p>
          <w:p>
            <w:pPr>
              <w:jc w:val="center"/>
              <w:rPr>
                <w:rFonts w:ascii="宋体" w:eastAsia="宋体" w:cs="宋体"/>
                <w:szCs w:val="21"/>
              </w:rPr>
            </w:pPr>
            <w:r>
              <w:rPr>
                <w:rFonts w:ascii="宋体" w:eastAsia="宋体" w:cs="宋体" w:hint="eastAsia"/>
                <w:szCs w:val="21"/>
              </w:rPr>
              <w:t>GB/T 8626-2007/表面点火方式</w:t>
            </w:r>
          </w:p>
          <w:p>
            <w:pPr>
              <w:jc w:val="center"/>
              <w:rPr>
                <w:rFonts w:ascii="宋体" w:eastAsia="宋体" w:cs="宋体"/>
                <w:szCs w:val="21"/>
              </w:rPr>
            </w:pPr>
            <w:r>
              <w:rPr>
                <w:rFonts w:ascii="宋体" w:eastAsia="宋体" w:cs="宋体" w:hint="eastAsia"/>
                <w:szCs w:val="21"/>
              </w:rPr>
              <w:t>GB/T 2406.2-2009/方法C</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A</w:t>
            </w:r>
          </w:p>
        </w:tc>
        <w:tc>
          <w:tcPr>
            <w:tcW w:w="10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403"/>
        </w:trPr>
        <w:tc>
          <w:tcPr>
            <w:tcW w:w="116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主要性能</w:t>
            </w:r>
          </w:p>
        </w:tc>
        <w:tc>
          <w:tcPr>
            <w:tcW w:w="7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4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密度</w:t>
            </w:r>
          </w:p>
        </w:tc>
        <w:tc>
          <w:tcPr>
            <w:tcW w:w="30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6343-2009</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0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r>
        <w:trPr>
          <w:trHeight w:val="317"/>
        </w:trPr>
        <w:tc>
          <w:tcPr>
            <w:tcW w:w="1160" w:type="dxa"/>
            <w:vMerge/>
            <w:tcBorders>
              <w:top w:val="single" w:sz="4" w:space="0" w:color="auto"/>
              <w:left w:val="single" w:sz="4" w:space="0" w:color="auto"/>
              <w:bottom w:val="single" w:sz="4" w:space="0" w:color="auto"/>
              <w:right w:val="single" w:sz="4" w:space="0" w:color="auto"/>
            </w:tcBorders>
            <w:vAlign w:val="center"/>
          </w:tcPr>
          <w:p/>
        </w:tc>
        <w:tc>
          <w:tcPr>
            <w:tcW w:w="7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2</w:t>
            </w:r>
          </w:p>
        </w:tc>
        <w:tc>
          <w:tcPr>
            <w:tcW w:w="14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导热系数</w:t>
            </w:r>
          </w:p>
        </w:tc>
        <w:tc>
          <w:tcPr>
            <w:tcW w:w="30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10294-2008</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0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w:t>
            </w:r>
          </w:p>
        </w:tc>
      </w:tr>
      <w:tr>
        <w:trPr>
          <w:trHeight w:val="317"/>
        </w:trPr>
        <w:tc>
          <w:tcPr>
            <w:tcW w:w="1160" w:type="dxa"/>
            <w:vMerge/>
            <w:tcBorders>
              <w:top w:val="single" w:sz="4" w:space="0" w:color="auto"/>
              <w:left w:val="single" w:sz="4" w:space="0" w:color="auto"/>
              <w:bottom w:val="single" w:sz="4" w:space="0" w:color="auto"/>
              <w:right w:val="single" w:sz="4" w:space="0" w:color="auto"/>
            </w:tcBorders>
            <w:vAlign w:val="center"/>
          </w:tcPr>
          <w:p/>
        </w:tc>
        <w:tc>
          <w:tcPr>
            <w:tcW w:w="7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4</w:t>
            </w:r>
          </w:p>
        </w:tc>
        <w:tc>
          <w:tcPr>
            <w:tcW w:w="14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抗压强度</w:t>
            </w:r>
          </w:p>
        </w:tc>
        <w:tc>
          <w:tcPr>
            <w:tcW w:w="30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5486-2008</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B</w:t>
            </w:r>
          </w:p>
        </w:tc>
        <w:tc>
          <w:tcPr>
            <w:tcW w:w="109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bl>
    <w:p>
      <w:pPr>
        <w:spacing w:line="440" w:lineRule="exact"/>
        <w:jc w:val="center"/>
        <w:rPr>
          <w:szCs w:val="21"/>
        </w:rPr>
      </w:pPr>
      <w:r>
        <w:rPr>
          <w:rFonts w:hint="eastAsia"/>
          <w:szCs w:val="21"/>
        </w:rPr>
        <w:t>表6执行企业标准、团体标准、地方标准、及产品明示质量要求的产品按照GB 8624-2012/5.1.1的要求检测，样品规格及燃烧性能等级由企业提供。</w:t>
      </w:r>
    </w:p>
    <w:tbl>
      <w:tblPr>
        <w:jc w:val="cente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5"/>
        <w:gridCol w:w="660"/>
        <w:gridCol w:w="1293"/>
        <w:gridCol w:w="3537"/>
        <w:gridCol w:w="987"/>
        <w:gridCol w:w="1102"/>
      </w:tblGrid>
      <w:tr>
        <w:trPr>
          <w:trHeight w:val="843"/>
        </w:trPr>
        <w:tc>
          <w:tcPr>
            <w:tcW w:w="115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分类</w:t>
            </w:r>
          </w:p>
        </w:tc>
        <w:tc>
          <w:tcPr>
            <w:tcW w:w="66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序号</w:t>
            </w:r>
          </w:p>
        </w:tc>
        <w:tc>
          <w:tcPr>
            <w:tcW w:w="129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检验项目</w:t>
            </w:r>
          </w:p>
        </w:tc>
        <w:tc>
          <w:tcPr>
            <w:tcW w:w="353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检验方法</w:t>
            </w:r>
          </w:p>
        </w:tc>
        <w:tc>
          <w:tcPr>
            <w:tcW w:w="987" w:type="dxa"/>
            <w:tcBorders>
              <w:top w:val="single" w:sz="4" w:space="0" w:color="auto"/>
              <w:left w:val="single" w:sz="4" w:space="0" w:color="auto"/>
              <w:bottom w:val="single" w:sz="4" w:space="0" w:color="auto"/>
              <w:right w:val="single" w:sz="4" w:space="0" w:color="auto"/>
            </w:tcBorders>
            <w:vAlign w:val="center"/>
          </w:tcPr>
          <w:p>
            <w:pPr>
              <w:widowControl/>
              <w:spacing w:line="240" w:lineRule="atLeast"/>
              <w:jc w:val="center"/>
              <w:rPr>
                <w:rFonts w:ascii="宋体" w:eastAsia="宋体" w:cs="宋体"/>
                <w:szCs w:val="21"/>
              </w:rPr>
            </w:pPr>
            <w:r>
              <w:rPr>
                <w:rFonts w:ascii="宋体" w:eastAsia="宋体" w:cs="宋体" w:hint="eastAsia"/>
                <w:szCs w:val="21"/>
              </w:rPr>
              <w:t>重要程度分级</w:t>
            </w:r>
          </w:p>
        </w:tc>
        <w:tc>
          <w:tcPr>
            <w:tcW w:w="11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是否为环保指标</w:t>
            </w:r>
          </w:p>
        </w:tc>
      </w:tr>
      <w:tr>
        <w:trPr>
          <w:trHeight w:val="615"/>
        </w:trPr>
        <w:tc>
          <w:tcPr>
            <w:tcW w:w="115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安全性能</w:t>
            </w:r>
          </w:p>
        </w:tc>
        <w:tc>
          <w:tcPr>
            <w:tcW w:w="66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1</w:t>
            </w:r>
          </w:p>
        </w:tc>
        <w:tc>
          <w:tcPr>
            <w:tcW w:w="129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燃烧性能</w:t>
            </w:r>
          </w:p>
        </w:tc>
        <w:tc>
          <w:tcPr>
            <w:tcW w:w="353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GB/T 5464-2010</w:t>
            </w:r>
          </w:p>
          <w:p>
            <w:pPr>
              <w:jc w:val="center"/>
              <w:rPr>
                <w:rFonts w:ascii="宋体" w:eastAsia="宋体" w:cs="宋体"/>
                <w:szCs w:val="21"/>
              </w:rPr>
            </w:pPr>
            <w:r>
              <w:rPr>
                <w:rFonts w:ascii="宋体" w:eastAsia="宋体" w:cs="宋体" w:hint="eastAsia"/>
                <w:szCs w:val="21"/>
              </w:rPr>
              <w:t>GB/T 14402-2007/坩埚试验</w:t>
            </w:r>
          </w:p>
          <w:p>
            <w:pPr>
              <w:jc w:val="center"/>
              <w:rPr>
                <w:rFonts w:ascii="宋体" w:eastAsia="宋体" w:cs="宋体"/>
                <w:szCs w:val="21"/>
              </w:rPr>
            </w:pPr>
            <w:r>
              <w:rPr>
                <w:rFonts w:ascii="宋体" w:eastAsia="宋体" w:cs="宋体" w:hint="eastAsia"/>
                <w:szCs w:val="21"/>
              </w:rPr>
              <w:t>GB/T 20284-2006</w:t>
            </w:r>
          </w:p>
          <w:p>
            <w:pPr>
              <w:jc w:val="center"/>
              <w:rPr>
                <w:rFonts w:ascii="宋体" w:eastAsia="宋体" w:cs="宋体"/>
                <w:szCs w:val="21"/>
              </w:rPr>
            </w:pPr>
            <w:r>
              <w:rPr>
                <w:rFonts w:ascii="宋体" w:eastAsia="宋体" w:cs="宋体" w:hint="eastAsia"/>
                <w:szCs w:val="21"/>
              </w:rPr>
              <w:t>GB/T 8626-2007/表面点火方式</w:t>
            </w:r>
          </w:p>
          <w:p>
            <w:pPr>
              <w:jc w:val="center"/>
              <w:rPr>
                <w:rFonts w:ascii="宋体" w:eastAsia="宋体" w:cs="宋体"/>
                <w:szCs w:val="21"/>
              </w:rPr>
            </w:pPr>
            <w:r>
              <w:rPr>
                <w:rFonts w:ascii="宋体" w:eastAsia="宋体" w:cs="宋体" w:hint="eastAsia"/>
                <w:szCs w:val="21"/>
              </w:rPr>
              <w:t>GB/T 2406.2-2009/方法C</w:t>
            </w:r>
          </w:p>
        </w:tc>
        <w:tc>
          <w:tcPr>
            <w:tcW w:w="98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A</w:t>
            </w:r>
          </w:p>
        </w:tc>
        <w:tc>
          <w:tcPr>
            <w:tcW w:w="1102"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否</w:t>
            </w:r>
          </w:p>
        </w:tc>
      </w:tr>
    </w:tbl>
    <w:p>
      <w:pPr>
        <w:adjustRightInd w:val="0"/>
        <w:snapToGrid w:val="0"/>
        <w:spacing w:beforeLines="100" w:before="312" w:afterLines="100" w:after="312" w:line="240" w:lineRule="exact"/>
        <w:jc w:val="center"/>
        <w:rPr>
          <w:rFonts w:eastAsia="黑体"/>
          <w:szCs w:val="21"/>
        </w:rPr>
      </w:pPr>
      <w:r>
        <w:rPr>
          <w:rFonts w:hint="eastAsia"/>
          <w:szCs w:val="21"/>
        </w:rPr>
        <w:t>表7执行GB/T 10801.1-2021标准产品检验项目</w:t>
      </w:r>
    </w:p>
    <w:tbl>
      <w:tblPr>
        <w:jc w:val="cente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46"/>
        <w:gridCol w:w="666"/>
        <w:gridCol w:w="2245"/>
        <w:gridCol w:w="1978"/>
        <w:gridCol w:w="1080"/>
        <w:gridCol w:w="1152"/>
      </w:tblGrid>
      <w:tr>
        <w:trPr>
          <w:cantSplit/>
          <w:trHeight w:val="706"/>
          <w:tblHeader/>
        </w:trPr>
        <w:tc>
          <w:tcPr>
            <w:tcW w:w="69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szCs w:val="21"/>
              </w:rPr>
            </w:pPr>
            <w:r>
              <w:rPr>
                <w:rFonts w:ascii="宋体" w:eastAsia="宋体" w:cs="宋体" w:hint="eastAsia"/>
                <w:szCs w:val="21"/>
              </w:rPr>
              <w:t>分类</w:t>
            </w:r>
          </w:p>
        </w:tc>
        <w:tc>
          <w:tcPr>
            <w:tcW w:w="40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szCs w:val="21"/>
              </w:rPr>
            </w:pPr>
            <w:r>
              <w:rPr>
                <w:rFonts w:ascii="宋体" w:eastAsia="宋体" w:cs="宋体" w:hint="eastAsia"/>
                <w:szCs w:val="21"/>
              </w:rPr>
              <w:t>序号</w:t>
            </w:r>
          </w:p>
        </w:tc>
        <w:tc>
          <w:tcPr>
            <w:tcW w:w="1358"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szCs w:val="21"/>
              </w:rPr>
            </w:pPr>
            <w:r>
              <w:rPr>
                <w:rFonts w:ascii="宋体" w:eastAsia="宋体" w:cs="宋体" w:hint="eastAsia"/>
                <w:szCs w:val="21"/>
              </w:rPr>
              <w:t>检验项目</w:t>
            </w:r>
          </w:p>
        </w:tc>
        <w:tc>
          <w:tcPr>
            <w:tcW w:w="1196"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szCs w:val="21"/>
              </w:rPr>
            </w:pPr>
            <w:r>
              <w:rPr>
                <w:rFonts w:ascii="宋体" w:eastAsia="宋体" w:cs="宋体" w:hint="eastAsia"/>
                <w:szCs w:val="21"/>
              </w:rPr>
              <w:t>检验方法</w:t>
            </w:r>
          </w:p>
        </w:tc>
        <w:tc>
          <w:tcPr>
            <w:tcW w:w="653" w:type="pct"/>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ascii="宋体" w:eastAsia="宋体" w:cs="宋体"/>
                <w:kern w:val="0"/>
                <w:szCs w:val="21"/>
              </w:rPr>
            </w:pPr>
            <w:r>
              <w:rPr>
                <w:rFonts w:ascii="宋体" w:eastAsia="宋体" w:cs="宋体" w:hint="eastAsia"/>
                <w:szCs w:val="21"/>
              </w:rPr>
              <w:t>重要程度分级</w:t>
            </w:r>
          </w:p>
        </w:tc>
        <w:tc>
          <w:tcPr>
            <w:tcW w:w="697" w:type="pct"/>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ascii="宋体" w:eastAsia="宋体" w:cs="宋体"/>
                <w:kern w:val="0"/>
                <w:szCs w:val="21"/>
              </w:rPr>
            </w:pPr>
            <w:r>
              <w:rPr>
                <w:rFonts w:ascii="宋体" w:eastAsia="宋体" w:cs="宋体" w:hint="eastAsia"/>
                <w:kern w:val="0"/>
                <w:szCs w:val="21"/>
              </w:rPr>
              <w:t>是否为环保指标</w:t>
            </w:r>
          </w:p>
        </w:tc>
      </w:tr>
      <w:tr>
        <w:trPr>
          <w:cantSplit/>
          <w:trHeight w:val="23"/>
        </w:trPr>
        <w:tc>
          <w:tcPr>
            <w:tcW w:w="69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安全性</w:t>
            </w:r>
          </w:p>
        </w:tc>
        <w:tc>
          <w:tcPr>
            <w:tcW w:w="40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1</w:t>
            </w:r>
          </w:p>
        </w:tc>
        <w:tc>
          <w:tcPr>
            <w:tcW w:w="1358"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szCs w:val="21"/>
              </w:rPr>
              <w:t>燃烧性能</w:t>
            </w:r>
          </w:p>
        </w:tc>
        <w:tc>
          <w:tcPr>
            <w:tcW w:w="1196"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sz w:val="21"/>
                <w:szCs w:val="21"/>
              </w:rPr>
            </w:pPr>
            <w:r>
              <w:rPr>
                <w:rFonts w:ascii="宋体" w:eastAsia="宋体" w:cs="宋体" w:hint="eastAsia"/>
                <w:sz w:val="21"/>
                <w:szCs w:val="21"/>
              </w:rPr>
              <w:t>GB 8624-2012</w:t>
            </w:r>
          </w:p>
        </w:tc>
        <w:tc>
          <w:tcPr>
            <w:tcW w:w="653"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A</w:t>
            </w:r>
          </w:p>
        </w:tc>
        <w:tc>
          <w:tcPr>
            <w:tcW w:w="697"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否</w:t>
            </w:r>
          </w:p>
        </w:tc>
      </w:tr>
      <w:tr>
        <w:trPr>
          <w:cantSplit/>
          <w:trHeight w:val="23"/>
        </w:trPr>
        <w:tc>
          <w:tcPr>
            <w:tcW w:w="693" w:type="pct"/>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主要性能</w:t>
            </w:r>
          </w:p>
        </w:tc>
        <w:tc>
          <w:tcPr>
            <w:tcW w:w="40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1</w:t>
            </w:r>
          </w:p>
        </w:tc>
        <w:tc>
          <w:tcPr>
            <w:tcW w:w="1358"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szCs w:val="21"/>
              </w:rPr>
              <w:t>表观密度偏差</w:t>
            </w:r>
          </w:p>
        </w:tc>
        <w:tc>
          <w:tcPr>
            <w:tcW w:w="1196"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sz w:val="21"/>
                <w:szCs w:val="21"/>
              </w:rPr>
              <w:t>GB/T 6343-2009</w:t>
            </w:r>
          </w:p>
        </w:tc>
        <w:tc>
          <w:tcPr>
            <w:tcW w:w="653"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B</w:t>
            </w:r>
          </w:p>
        </w:tc>
        <w:tc>
          <w:tcPr>
            <w:tcW w:w="697"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否</w:t>
            </w:r>
          </w:p>
        </w:tc>
      </w:tr>
      <w:tr>
        <w:trPr>
          <w:cantSplit/>
          <w:trHeight w:val="23"/>
        </w:trPr>
        <w:tc>
          <w:tcPr>
            <w:tcW w:w="693" w:type="pct"/>
            <w:vMerge/>
            <w:tcBorders>
              <w:top w:val="single" w:sz="4" w:space="0" w:color="auto"/>
              <w:left w:val="single" w:sz="4" w:space="0" w:color="auto"/>
              <w:bottom w:val="single" w:sz="4" w:space="0" w:color="auto"/>
              <w:right w:val="single" w:sz="4" w:space="0" w:color="auto"/>
            </w:tcBorders>
            <w:vAlign w:val="center"/>
          </w:tcPr>
          <w:p/>
        </w:tc>
        <w:tc>
          <w:tcPr>
            <w:tcW w:w="40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2</w:t>
            </w:r>
          </w:p>
        </w:tc>
        <w:tc>
          <w:tcPr>
            <w:tcW w:w="1358"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szCs w:val="21"/>
              </w:rPr>
              <w:t>压缩强度</w:t>
            </w:r>
          </w:p>
        </w:tc>
        <w:tc>
          <w:tcPr>
            <w:tcW w:w="1196"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sz w:val="21"/>
                <w:szCs w:val="21"/>
              </w:rPr>
              <w:t>GB/T 8813-2020</w:t>
            </w:r>
          </w:p>
        </w:tc>
        <w:tc>
          <w:tcPr>
            <w:tcW w:w="653"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B</w:t>
            </w:r>
          </w:p>
        </w:tc>
        <w:tc>
          <w:tcPr>
            <w:tcW w:w="697"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否</w:t>
            </w:r>
          </w:p>
        </w:tc>
      </w:tr>
      <w:tr>
        <w:trPr>
          <w:cantSplit/>
          <w:trHeight w:val="23"/>
        </w:trPr>
        <w:tc>
          <w:tcPr>
            <w:tcW w:w="693" w:type="pct"/>
            <w:vMerge/>
            <w:tcBorders>
              <w:top w:val="single" w:sz="4" w:space="0" w:color="auto"/>
              <w:left w:val="single" w:sz="4" w:space="0" w:color="auto"/>
              <w:bottom w:val="single" w:sz="4" w:space="0" w:color="auto"/>
              <w:right w:val="single" w:sz="4" w:space="0" w:color="auto"/>
            </w:tcBorders>
            <w:vAlign w:val="center"/>
          </w:tcPr>
          <w:p/>
        </w:tc>
        <w:tc>
          <w:tcPr>
            <w:tcW w:w="40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3</w:t>
            </w:r>
          </w:p>
        </w:tc>
        <w:tc>
          <w:tcPr>
            <w:tcW w:w="1358"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导热系数</w:t>
            </w:r>
          </w:p>
        </w:tc>
        <w:tc>
          <w:tcPr>
            <w:tcW w:w="1196"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GB/T 10294-2008</w:t>
            </w:r>
          </w:p>
        </w:tc>
        <w:tc>
          <w:tcPr>
            <w:tcW w:w="653" w:type="pct"/>
            <w:tcBorders>
              <w:top w:val="single" w:sz="4" w:space="0" w:color="auto"/>
              <w:left w:val="single" w:sz="4" w:space="0" w:color="auto"/>
              <w:bottom w:val="single" w:sz="4" w:space="0" w:color="auto"/>
              <w:right w:val="single" w:sz="4" w:space="0" w:color="auto"/>
            </w:tcBorders>
            <w:vAlign w:val="center"/>
          </w:tcPr>
          <w:p>
            <w:pPr>
              <w:adjustRightInd w:val="0"/>
              <w:snapToGrid w:val="0"/>
              <w:spacing w:line="280" w:lineRule="exact"/>
              <w:jc w:val="center"/>
              <w:rPr>
                <w:rFonts w:ascii="宋体" w:eastAsia="宋体" w:cs="宋体"/>
                <w:bCs/>
                <w:szCs w:val="21"/>
              </w:rPr>
            </w:pPr>
            <w:r>
              <w:rPr>
                <w:rFonts w:ascii="宋体" w:eastAsia="宋体" w:cs="宋体" w:hint="eastAsia"/>
                <w:bCs/>
                <w:szCs w:val="21"/>
              </w:rPr>
              <w:t>B</w:t>
            </w:r>
          </w:p>
        </w:tc>
        <w:tc>
          <w:tcPr>
            <w:tcW w:w="697" w:type="pct"/>
            <w:tcBorders>
              <w:top w:val="single" w:sz="4" w:space="0" w:color="auto"/>
              <w:left w:val="single" w:sz="4" w:space="0" w:color="auto"/>
              <w:bottom w:val="single" w:sz="4" w:space="0" w:color="auto"/>
              <w:right w:val="single" w:sz="4" w:space="0" w:color="auto"/>
            </w:tcBorders>
            <w:vAlign w:val="center"/>
          </w:tcPr>
          <w:p>
            <w:pPr>
              <w:pStyle w:val="90"/>
              <w:adjustRightInd w:val="0"/>
              <w:snapToGrid w:val="0"/>
              <w:spacing w:line="280" w:lineRule="exact"/>
              <w:jc w:val="center"/>
              <w:rPr>
                <w:rFonts w:ascii="宋体" w:eastAsia="宋体" w:cs="宋体"/>
                <w:bCs/>
                <w:kern w:val="2"/>
                <w:sz w:val="21"/>
                <w:szCs w:val="21"/>
              </w:rPr>
            </w:pPr>
            <w:r>
              <w:rPr>
                <w:rFonts w:ascii="宋体" w:eastAsia="宋体" w:cs="宋体" w:hint="eastAsia"/>
                <w:bCs/>
                <w:kern w:val="2"/>
                <w:sz w:val="21"/>
                <w:szCs w:val="21"/>
              </w:rPr>
              <w:t>是</w:t>
            </w:r>
          </w:p>
        </w:tc>
      </w:tr>
    </w:tbl>
    <w:p>
      <w:pPr>
        <w:adjustRightInd w:val="0"/>
        <w:snapToGrid w:val="0"/>
        <w:spacing w:line="440" w:lineRule="exact"/>
        <w:ind w:firstLineChars="200" w:firstLine="440"/>
        <w:rPr>
          <w:szCs w:val="21"/>
        </w:rPr>
      </w:pPr>
      <w:r>
        <w:rPr>
          <w:rFonts w:ascii="宋体" w:cs="宋体" w:hint="eastAsia"/>
          <w:kern w:val="0"/>
          <w:sz w:val="22"/>
        </w:rPr>
        <w:t>重要程度分级：</w:t>
      </w:r>
      <w:r>
        <w:rPr>
          <w:rFonts w:hint="eastAsia"/>
          <w:szCs w:val="21"/>
        </w:rPr>
        <w:t>A类-极重要质量项目，B类-重要质量项目，C</w:t>
      </w:r>
      <w:r>
        <w:rPr>
          <w:szCs w:val="21"/>
        </w:rPr>
        <w:t>-</w:t>
      </w:r>
      <w:r>
        <w:rPr>
          <w:rFonts w:hint="eastAsia"/>
          <w:szCs w:val="21"/>
        </w:rPr>
        <w:t>一般质量项目</w:t>
      </w:r>
    </w:p>
    <w:p>
      <w:pPr>
        <w:spacing w:line="440" w:lineRule="exact"/>
        <w:ind w:firstLineChars="200" w:firstLine="420"/>
        <w:rPr>
          <w:szCs w:val="21"/>
        </w:rPr>
      </w:pPr>
      <w:r>
        <w:rPr>
          <w:rFonts w:hint="eastAsia"/>
          <w:szCs w:val="21"/>
        </w:rPr>
        <w:t>凡是注日期的文件，其随后所有的修改单（不包括勘误的内容）或修订版不适用。凡是不注日期的文件，其最新版适用。</w:t>
      </w:r>
    </w:p>
    <w:p>
      <w:pPr>
        <w:adjustRightInd w:val="0"/>
        <w:snapToGrid w:val="0"/>
        <w:spacing w:line="440" w:lineRule="exact"/>
        <w:ind w:firstLineChars="200" w:firstLine="420"/>
        <w:rPr>
          <w:rFonts w:ascii="宋体" w:cs="宋体"/>
          <w:szCs w:val="21"/>
        </w:rPr>
      </w:pPr>
      <w:r>
        <w:rPr>
          <w:rFonts w:ascii="宋体" w:cs="宋体" w:hint="eastAsia"/>
          <w:szCs w:val="21"/>
        </w:rPr>
        <w:t>依照有关规定或产品适用标准，需要检测的其他项目，可视情况进行调整。</w:t>
      </w:r>
    </w:p>
    <w:p>
      <w:pPr>
        <w:spacing w:beforeLines="100" w:before="312" w:afterLines="100" w:after="312"/>
        <w:jc w:val="left"/>
        <w:rPr>
          <w:rFonts w:ascii="黑体" w:eastAsia="黑体"/>
          <w:szCs w:val="21"/>
        </w:rPr>
      </w:pPr>
      <w:r>
        <w:rPr>
          <w:rFonts w:ascii="黑体" w:eastAsia="黑体" w:hint="eastAsia"/>
          <w:szCs w:val="21"/>
        </w:rPr>
        <w:t>4判定规则</w:t>
      </w:r>
    </w:p>
    <w:p>
      <w:pPr>
        <w:spacing w:line="440" w:lineRule="exact"/>
        <w:rPr>
          <w:szCs w:val="21"/>
        </w:rPr>
      </w:pPr>
      <w:r>
        <w:rPr>
          <w:rFonts w:hint="eastAsia"/>
          <w:szCs w:val="21"/>
        </w:rPr>
        <w:t>4.1依据标准</w:t>
      </w:r>
    </w:p>
    <w:p>
      <w:pPr>
        <w:spacing w:line="440" w:lineRule="exact"/>
        <w:ind w:firstLineChars="200" w:firstLine="420"/>
        <w:rPr>
          <w:rFonts w:ascii="宋体" w:eastAsia="宋体" w:cs="宋体"/>
          <w:szCs w:val="21"/>
        </w:rPr>
      </w:pPr>
      <w:r>
        <w:rPr>
          <w:rFonts w:ascii="宋体" w:eastAsia="宋体" w:cs="宋体" w:hint="eastAsia"/>
          <w:szCs w:val="21"/>
        </w:rPr>
        <w:t>GB/T 10801.1-2021《绝热用模塑聚苯乙烯泡沫塑料》</w:t>
      </w:r>
    </w:p>
    <w:p>
      <w:pPr>
        <w:spacing w:line="440" w:lineRule="exact"/>
        <w:ind w:firstLineChars="200" w:firstLine="420"/>
        <w:rPr>
          <w:rFonts w:ascii="宋体" w:eastAsia="宋体" w:cs="宋体"/>
          <w:szCs w:val="21"/>
        </w:rPr>
      </w:pPr>
      <w:r>
        <w:rPr>
          <w:rFonts w:ascii="宋体" w:eastAsia="宋体" w:cs="宋体" w:hint="eastAsia"/>
          <w:szCs w:val="21"/>
        </w:rPr>
        <w:t>GB/T10801.2 -2018《绝热用挤塑聚苯乙烯泡沫塑料（XPS）》</w:t>
      </w:r>
    </w:p>
    <w:p>
      <w:pPr>
        <w:spacing w:line="440" w:lineRule="exact"/>
        <w:ind w:firstLineChars="200" w:firstLine="420"/>
        <w:rPr>
          <w:rFonts w:ascii="宋体" w:eastAsia="宋体" w:cs="宋体"/>
          <w:szCs w:val="21"/>
        </w:rPr>
      </w:pPr>
      <w:r>
        <w:rPr>
          <w:rFonts w:ascii="宋体" w:eastAsia="宋体" w:cs="宋体" w:hint="eastAsia"/>
          <w:szCs w:val="21"/>
        </w:rPr>
        <w:t>JG/T 536-2017《热固复合聚苯乙烯泡沫保温板》</w:t>
      </w:r>
    </w:p>
    <w:p>
      <w:pPr>
        <w:spacing w:line="440" w:lineRule="exact"/>
        <w:ind w:firstLineChars="200" w:firstLine="420"/>
        <w:rPr>
          <w:rFonts w:ascii="宋体" w:eastAsia="宋体" w:cs="宋体"/>
          <w:szCs w:val="21"/>
        </w:rPr>
      </w:pPr>
      <w:r>
        <w:rPr>
          <w:rFonts w:ascii="宋体" w:eastAsia="宋体" w:cs="宋体" w:hint="eastAsia"/>
          <w:szCs w:val="21"/>
        </w:rPr>
        <w:t>现行有效的企业标准、团体标准、地方标准及产品明示质量要求的按照企业提供的燃烧性能等级依据GB 8624-2012《建筑材料及制品燃烧性能分级》标准判定。</w:t>
      </w:r>
    </w:p>
    <w:p>
      <w:pPr>
        <w:spacing w:line="440" w:lineRule="exact"/>
        <w:rPr>
          <w:szCs w:val="21"/>
        </w:rPr>
      </w:pPr>
      <w:r>
        <w:rPr>
          <w:rFonts w:hint="eastAsia"/>
          <w:szCs w:val="21"/>
        </w:rPr>
        <w:t>4.2判定原则</w:t>
      </w:r>
    </w:p>
    <w:p>
      <w:pPr>
        <w:spacing w:line="440" w:lineRule="exact"/>
        <w:ind w:firstLineChars="200" w:firstLine="420"/>
        <w:rPr>
          <w:szCs w:val="21"/>
        </w:rPr>
      </w:pPr>
      <w:r>
        <w:rPr>
          <w:rFonts w:hint="eastAsia"/>
          <w:szCs w:val="21"/>
        </w:rPr>
        <w:t>单项判定：经检验，任一项目中全部参数合格，判定该项目合格；任一项目中有一个或一个以上参数不合格，判定该项目不合格。</w:t>
      </w:r>
    </w:p>
    <w:p>
      <w:pPr>
        <w:spacing w:line="440" w:lineRule="exact"/>
        <w:ind w:firstLineChars="200" w:firstLine="420"/>
        <w:rPr>
          <w:szCs w:val="21"/>
        </w:rPr>
      </w:pPr>
      <w:r>
        <w:rPr>
          <w:rFonts w:hint="eastAsia"/>
          <w:szCs w:val="21"/>
        </w:rPr>
        <w:t>综合判定：</w:t>
      </w:r>
      <w:r>
        <w:rPr>
          <w:rFonts w:ascii="Times New Roman" w:hAnsi="Times New Roman"/>
          <w:color w:val="000000"/>
          <w:szCs w:val="21"/>
        </w:rPr>
        <w:t>经检验，检验项目全部合格，判定为被抽查产品所检项目未发现不合格</w:t>
      </w:r>
      <w:r>
        <w:rPr>
          <w:rFonts w:hint="eastAsia"/>
          <w:szCs w:val="21"/>
        </w:rPr>
        <w:t>；检验项目中有任一项或一项以上不合格，判定为被抽查产品不合格。</w:t>
      </w:r>
    </w:p>
    <w:p>
      <w:pPr>
        <w:spacing w:line="440" w:lineRule="exact"/>
        <w:ind w:firstLineChars="200" w:firstLine="420"/>
        <w:rPr>
          <w:szCs w:val="21"/>
        </w:rPr>
      </w:pPr>
      <w:r>
        <w:rPr>
          <w:rFonts w:hint="eastAsia"/>
          <w:szCs w:val="21"/>
        </w:rPr>
        <w:t>若被检产品明示的质量要求高于本细则中检验项目依据的标准要求时，应按被检产品明示的质量要求判定。</w:t>
      </w:r>
    </w:p>
    <w:p>
      <w:pPr>
        <w:spacing w:line="440" w:lineRule="exact"/>
        <w:ind w:firstLineChars="200" w:firstLine="420"/>
        <w:rPr>
          <w:szCs w:val="21"/>
        </w:rPr>
      </w:pPr>
      <w:r>
        <w:rPr>
          <w:rFonts w:hint="eastAsia"/>
          <w:szCs w:val="21"/>
        </w:rPr>
        <w:t>若被检产品明示的质量要求低于本细则中检验项目依据的强制性标准要求时，应按照强制性标准要求判定。</w:t>
      </w:r>
    </w:p>
    <w:p>
      <w:pPr>
        <w:spacing w:line="440" w:lineRule="exact"/>
        <w:ind w:firstLineChars="200" w:firstLine="420"/>
        <w:rPr>
          <w:szCs w:val="21"/>
        </w:rPr>
      </w:pPr>
      <w:r>
        <w:rPr>
          <w:rFonts w:hint="eastAsia"/>
          <w:szCs w:val="21"/>
        </w:rPr>
        <w:t>若被检产品明示的质量要求低于或包含本细则中检验项目依据的推荐性标准要求时，应以被检产品明示的质量要求判定。</w:t>
      </w:r>
    </w:p>
    <w:p>
      <w:pPr>
        <w:spacing w:line="440" w:lineRule="exact"/>
        <w:ind w:firstLineChars="200" w:firstLine="420"/>
        <w:rPr>
          <w:szCs w:val="21"/>
        </w:rPr>
      </w:pPr>
      <w:r>
        <w:rPr>
          <w:rFonts w:hint="eastAsia"/>
          <w:szCs w:val="21"/>
        </w:rPr>
        <w:t>若被检产品明示的质量要求缺少本细则中检验项目依据的强制性标准要求时，应按照强制性标准要求判定。</w:t>
      </w:r>
    </w:p>
    <w:p>
      <w:pPr>
        <w:spacing w:line="440" w:lineRule="exact"/>
        <w:ind w:firstLineChars="200" w:firstLine="420"/>
        <w:rPr>
          <w:szCs w:val="21"/>
        </w:rPr>
      </w:pPr>
      <w:r>
        <w:rPr>
          <w:rFonts w:hint="eastAsia"/>
          <w:szCs w:val="21"/>
        </w:rPr>
        <w:t>若被检产品明示的质量要求缺少本细则中检验项目依据的推荐性标准要求时，该项目不参与判定。</w:t>
      </w:r>
    </w:p>
    <w:p>
      <w:pPr>
        <w:snapToGrid w:val="0"/>
        <w:spacing w:line="570" w:lineRule="exact"/>
        <w:rPr>
          <w:rFonts w:ascii="仿宋" w:eastAsia="仿宋"/>
          <w:sz w:val="32"/>
          <w:szCs w:val="32"/>
        </w:rPr>
      </w:pPr>
    </w:p>
    <w:p/>
    <w:p>
      <w:pPr>
        <w:snapToGrid w:val="0"/>
        <w:spacing w:line="570" w:lineRule="exact"/>
        <w:rPr>
          <w:rFonts w:ascii="仿宋" w:eastAsia="仿宋"/>
          <w:sz w:val="32"/>
          <w:szCs w:val="32"/>
        </w:rPr>
      </w:pPr>
    </w:p>
    <w:p>
      <w:pPr>
        <w:snapToGrid w:val="0"/>
        <w:spacing w:line="570" w:lineRule="exact"/>
        <w:rPr>
          <w:rFonts w:ascii="仿宋" w:eastAsia="仿宋"/>
          <w:sz w:val="32"/>
          <w:szCs w:val="32"/>
        </w:rPr>
      </w:pPr>
    </w:p>
    <w:p>
      <w:pPr>
        <w:snapToGrid w:val="0"/>
        <w:spacing w:line="570" w:lineRule="exact"/>
        <w:rPr>
          <w:rFonts w:ascii="仿宋" w:eastAsia="仿宋"/>
          <w:sz w:val="32"/>
          <w:szCs w:val="32"/>
        </w:rPr>
      </w:pPr>
    </w:p>
    <w:p>
      <w:pPr>
        <w:snapToGrid w:val="0"/>
        <w:spacing w:line="570" w:lineRule="exact"/>
        <w:rPr>
          <w:rFonts w:ascii="仿宋" w:eastAsia="仿宋"/>
          <w:sz w:val="32"/>
          <w:szCs w:val="32"/>
        </w:rPr>
      </w:pPr>
    </w:p>
    <w:p>
      <w:pPr>
        <w:pStyle w:val="107"/>
        <w:tabs>
          <w:tab w:val="left" w:pos="619"/>
        </w:tabs>
        <w:spacing w:before="188" w:line="540" w:lineRule="exact"/>
        <w:ind w:right="187"/>
        <w:rPr>
          <w:rFonts w:ascii="仿宋" w:eastAsia="仿宋" w:cs="仿宋"/>
          <w:spacing w:val="-9"/>
          <w:sz w:val="28"/>
          <w:szCs w:val="28"/>
        </w:rPr>
      </w:pPr>
    </w:p>
    <w:p>
      <w:pPr>
        <w:pStyle w:val="107"/>
        <w:tabs>
          <w:tab w:val="left" w:pos="619"/>
        </w:tabs>
        <w:spacing w:before="188" w:line="540" w:lineRule="exact"/>
        <w:ind w:right="187"/>
        <w:rPr>
          <w:rFonts w:ascii="仿宋" w:eastAsia="仿宋" w:cs="仿宋"/>
          <w:spacing w:val="-9"/>
          <w:sz w:val="28"/>
          <w:szCs w:val="28"/>
        </w:rPr>
      </w:pPr>
    </w:p>
    <w:p>
      <w:pPr>
        <w:pStyle w:val="107"/>
        <w:tabs>
          <w:tab w:val="left" w:pos="619"/>
        </w:tabs>
        <w:spacing w:before="188" w:line="540" w:lineRule="exact"/>
        <w:ind w:right="187"/>
        <w:rPr>
          <w:rFonts w:ascii="仿宋" w:eastAsia="仿宋" w:cs="仿宋"/>
          <w:spacing w:val="-9"/>
          <w:sz w:val="28"/>
          <w:szCs w:val="28"/>
        </w:rPr>
      </w:pPr>
    </w:p>
    <w:p/>
    <w:sectPr>
      <w:headerReference w:type="default" r:id="rId2"/>
      <w:footerReference w:type="default" r:id="rId3"/>
      <w:footerReference w:type="even" r:id="rId4"/>
      <w:pgSz w:w="11906" w:h="16838"/>
      <w:pgMar w:top="737" w:right="1474" w:bottom="737" w:left="1701" w:header="851" w:footer="737"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宋体-方正超大字符集">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33"/>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tabs>
        <w:tab w:val="center" w:pos="4153"/>
        <w:tab w:val="right" w:pos="8306"/>
      </w:tabs>
      <w:rPr>
        <w:rStyle w:val="42"/>
      </w:rPr>
    </w:pPr>
    <w:r>
      <w:rPr>
        <w:rStyle w:val="42"/>
      </w:rPr>
      <w:fldChar w:fldCharType="begin"/>
    </w:r>
    <w:r>
      <w:rPr>
        <w:rStyle w:val="42"/>
      </w:rPr>
      <w:instrText xml:space="preserve">PAGE  </w:instrText>
    </w:r>
    <w:r>
      <w:fldChar w:fldCharType="separate"/>
    </w:r>
    <w:r>
      <w:t xml:space="preserve"> </w:t>
    </w:r>
    <w:r>
      <w:fldChar w:fldCharType="end"/>
    </w:r>
  </w:p>
  <w:p>
    <w:pPr>
      <w:pStyle w:val="33"/>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4AC8787"/>
    <w:multiLevelType w:val="singleLevel"/>
    <w:tmpl w:val="B4AC8787"/>
    <w:lvl w:ilvl="0">
      <w:start w:val="1"/>
      <w:numFmt w:val="decimal"/>
      <w:lvlRestart w:val="0"/>
      <w:suff w:val="nothing"/>
      <w:lvlText w:val="%1"/>
      <w:lvlJc w:val="left"/>
      <w:pPr>
        <w:ind w:left="0" w:hanging="0"/>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6"/>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2">
    <w:name w:val="header"/>
    <w:basedOn w:val="0"/>
    <w:next w:val="24"/>
    <w:pPr>
      <w:widowControl w:val="0"/>
      <w:pBdr>
        <w:bottom w:val="single" w:sz="6" w:space="1" w:color="auto"/>
      </w:pBdr>
      <w:tabs>
        <w:tab w:val="center" w:pos="4153"/>
        <w:tab w:val="right" w:pos="8306"/>
      </w:tabs>
      <w:snapToGrid w:val="0"/>
      <w:jc w:val="center"/>
    </w:pPr>
    <w:rPr>
      <w:rFonts w:ascii="Calibri" w:eastAsia="宋体" w:cs="Times New Roman" w:hAnsi="Calibri"/>
      <w:kern w:val="2"/>
      <w:sz w:val="18"/>
      <w:szCs w:val="18"/>
      <w:lang w:val="en-US" w:eastAsia="zh-CN" w:bidi="ar-SA"/>
    </w:rPr>
  </w:style>
  <w:style w:type="paragraph" w:styleId="33">
    <w:name w:val="footer"/>
    <w:basedOn w:val="0"/>
    <w:next w:val="23"/>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character" w:styleId="42">
    <w:name w:val="page number"/>
    <w:basedOn w:val="0"/>
  </w:style>
  <w:style w:type="paragraph" w:styleId="45">
    <w:name w:val="table of authorities"/>
    <w:basedOn w:val="0"/>
    <w:next w:val="0"/>
    <w:pPr>
      <w:widowControl w:val="0"/>
      <w:ind w:leftChars="200" w:left="200"/>
      <w:jc w:val="both"/>
    </w:pPr>
    <w:rPr>
      <w:rFonts w:ascii="Calibri" w:eastAsia="宋体" w:cs="Times New Roman" w:hAnsi="Calibri"/>
      <w:kern w:val="2"/>
      <w:sz w:val="21"/>
      <w:szCs w:val="22"/>
      <w:lang w:val="en-US" w:eastAsia="zh-CN" w:bidi="ar-SA"/>
    </w:rPr>
  </w:style>
  <w:style w:type="paragraph" w:styleId="90">
    <w:name w:val="Plain Text"/>
    <w:basedOn w:val="0"/>
    <w:next w:val="20"/>
    <w:pPr>
      <w:widowControl w:val="0"/>
      <w:jc w:val="both"/>
    </w:pPr>
    <w:rPr>
      <w:rFonts w:ascii="宋体" w:eastAsia="宋体" w:cs="Times New Roman"/>
      <w:kern w:val="0"/>
      <w:sz w:val="20"/>
      <w:szCs w:val="20"/>
      <w:lang w:val="en-US" w:eastAsia="zh-CN" w:bidi="ar-SA"/>
    </w:rPr>
  </w:style>
  <w:style w:type="paragraph" w:styleId="107">
    <w:name w:val="List Paragraph"/>
    <w:basedOn w:val="0"/>
    <w:next w:val="33"/>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16</Words>
  <Characters>16</Characters>
  <Lines>1</Lines>
  <Paragraphs>1</Paragraphs>
  <CharactersWithSpaces>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2023-04-20T02:36:16Z</dcterms:created>
  <dcterms:modified xsi:type="dcterms:W3CDTF">2023-04-20T02:36:44Z</dcterms:modified>
</cp:coreProperties>
</file>