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黑体" w:hAnsi="黑体" w:eastAsia="黑体" w:cs="黑体"/>
          <w:i w:val="0"/>
          <w:iCs w:val="0"/>
          <w:caps w:val="0"/>
          <w:color w:val="000000"/>
          <w:spacing w:val="0"/>
          <w:sz w:val="36"/>
          <w:szCs w:val="36"/>
        </w:rPr>
      </w:pPr>
      <w:r>
        <w:rPr>
          <w:rFonts w:hint="eastAsia" w:ascii="黑体" w:hAnsi="黑体" w:eastAsia="黑体" w:cs="黑体"/>
          <w:i w:val="0"/>
          <w:iCs w:val="0"/>
          <w:caps w:val="0"/>
          <w:color w:val="000000"/>
          <w:spacing w:val="0"/>
          <w:kern w:val="0"/>
          <w:sz w:val="36"/>
          <w:szCs w:val="36"/>
          <w:shd w:val="clear" w:fill="FFFFFF"/>
          <w:lang w:val="en-US" w:eastAsia="zh-CN" w:bidi="ar"/>
        </w:rPr>
        <w:t>秦皇岛市市场监督管理局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黑体" w:hAnsi="黑体" w:eastAsia="黑体" w:cs="黑体"/>
          <w:i w:val="0"/>
          <w:iCs w:val="0"/>
          <w:caps w:val="0"/>
          <w:color w:val="000000"/>
          <w:spacing w:val="0"/>
          <w:sz w:val="36"/>
          <w:szCs w:val="36"/>
        </w:rPr>
      </w:pPr>
      <w:r>
        <w:rPr>
          <w:rFonts w:hint="eastAsia" w:ascii="黑体" w:hAnsi="黑体" w:eastAsia="黑体" w:cs="黑体"/>
          <w:i w:val="0"/>
          <w:iCs w:val="0"/>
          <w:caps w:val="0"/>
          <w:color w:val="000000"/>
          <w:spacing w:val="0"/>
          <w:kern w:val="0"/>
          <w:sz w:val="36"/>
          <w:szCs w:val="36"/>
          <w:shd w:val="clear" w:fill="FFFFFF"/>
          <w:lang w:val="en-US" w:eastAsia="zh-CN" w:bidi="ar"/>
        </w:rPr>
        <w:t>行政处罚决定书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秦市监处罚[2023]200-6号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当事人：</w:t>
      </w:r>
      <w:r>
        <w:rPr>
          <w:rFonts w:hint="eastAsia" w:ascii="仿宋" w:hAnsi="仿宋" w:eastAsia="仿宋" w:cs="仿宋"/>
          <w:sz w:val="32"/>
          <w:szCs w:val="32"/>
          <w:u w:val="none"/>
          <w:lang w:val="en-US" w:eastAsia="zh-CN"/>
        </w:rPr>
        <w:t>北戴河新区汇</w:t>
      </w:r>
      <w:r>
        <w:rPr>
          <w:rFonts w:hint="eastAsia" w:ascii="仿宋" w:hAnsi="仿宋" w:eastAsia="仿宋" w:cs="仿宋"/>
          <w:color w:val="000000" w:themeColor="text1"/>
          <w:sz w:val="32"/>
          <w:szCs w:val="32"/>
          <w:u w:val="none"/>
          <w:lang w:val="en-US" w:eastAsia="zh-CN"/>
          <w14:textFill>
            <w14:solidFill>
              <w14:schemeClr w14:val="tx1"/>
            </w14:solidFill>
          </w14:textFill>
        </w:rPr>
        <w:t>颜生活馆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主体资格证照名称：营业执照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b w:val="0"/>
          <w:bCs w:val="0"/>
          <w:sz w:val="32"/>
          <w:szCs w:val="32"/>
          <w:u w:val="none"/>
          <w:lang w:val="en-US" w:eastAsia="zh-CN"/>
        </w:rPr>
      </w:pPr>
      <w:r>
        <w:rPr>
          <w:rFonts w:hint="eastAsia" w:ascii="仿宋" w:hAnsi="仿宋" w:eastAsia="仿宋" w:cs="仿宋"/>
          <w:i w:val="0"/>
          <w:iCs w:val="0"/>
          <w:caps w:val="0"/>
          <w:color w:val="000000"/>
          <w:spacing w:val="0"/>
          <w:kern w:val="0"/>
          <w:sz w:val="32"/>
          <w:szCs w:val="32"/>
          <w:shd w:val="clear" w:fill="FFFFFF"/>
          <w:lang w:val="en-US" w:eastAsia="zh-CN" w:bidi="ar"/>
        </w:rPr>
        <w:t>统一社会信用代码（注册号）：</w:t>
      </w:r>
      <w:r>
        <w:rPr>
          <w:rFonts w:hint="eastAsia" w:ascii="仿宋" w:hAnsi="仿宋" w:eastAsia="仿宋" w:cs="仿宋"/>
          <w:b w:val="0"/>
          <w:bCs w:val="0"/>
          <w:sz w:val="32"/>
          <w:szCs w:val="32"/>
          <w:u w:val="none"/>
          <w:lang w:val="en-US" w:eastAsia="zh-CN"/>
        </w:rPr>
        <w:t>92130392MA7H4Y536F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shd w:val="clear" w:fill="FFFFFF"/>
          <w:lang w:val="en-US" w:eastAsia="zh-CN" w:bidi="ar"/>
        </w:rPr>
        <w:t>住所（住址）：</w:t>
      </w:r>
      <w:r>
        <w:rPr>
          <w:rFonts w:hint="eastAsia" w:ascii="仿宋" w:hAnsi="仿宋" w:eastAsia="仿宋" w:cs="仿宋"/>
          <w:sz w:val="32"/>
          <w:szCs w:val="32"/>
          <w:u w:val="none"/>
          <w:lang w:val="en-US" w:eastAsia="zh-CN"/>
        </w:rPr>
        <w:t>秦皇岛北戴河新区海岸葡萄庄园商业4号楼3号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负责人：杨春平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2022年10月21日，秦皇岛市市场监督管理局执法人员对北戴河新区小蒲河村</w:t>
      </w:r>
      <w:r>
        <w:rPr>
          <w:rFonts w:hint="eastAsia" w:ascii="仿宋" w:hAnsi="仿宋" w:eastAsia="仿宋" w:cs="仿宋"/>
          <w:sz w:val="32"/>
          <w:szCs w:val="32"/>
          <w:u w:val="none"/>
          <w:lang w:val="en-US" w:eastAsia="zh-CN"/>
        </w:rPr>
        <w:t>北戴河新区汇</w:t>
      </w:r>
      <w:r>
        <w:rPr>
          <w:rFonts w:hint="eastAsia" w:ascii="仿宋" w:hAnsi="仿宋" w:eastAsia="仿宋" w:cs="仿宋"/>
          <w:color w:val="000000" w:themeColor="text1"/>
          <w:sz w:val="32"/>
          <w:szCs w:val="32"/>
          <w:u w:val="none"/>
          <w:lang w:val="en-US" w:eastAsia="zh-CN"/>
          <w14:textFill>
            <w14:solidFill>
              <w14:schemeClr w14:val="tx1"/>
            </w14:solidFill>
          </w14:textFill>
        </w:rPr>
        <w:t>颜生活馆</w:t>
      </w:r>
      <w:r>
        <w:rPr>
          <w:rFonts w:hint="eastAsia" w:ascii="仿宋" w:hAnsi="仿宋" w:eastAsia="仿宋" w:cs="仿宋"/>
          <w:i w:val="0"/>
          <w:iCs w:val="0"/>
          <w:caps w:val="0"/>
          <w:color w:val="000000"/>
          <w:spacing w:val="0"/>
          <w:kern w:val="0"/>
          <w:sz w:val="32"/>
          <w:szCs w:val="32"/>
          <w:shd w:val="clear" w:fill="FFFFFF"/>
          <w:lang w:val="en-US" w:eastAsia="zh-CN" w:bidi="ar"/>
        </w:rPr>
        <w:t>进行监督检查，发现当事人所销售的</w:t>
      </w:r>
      <w:r>
        <w:rPr>
          <w:rFonts w:hint="eastAsia" w:ascii="仿宋" w:hAnsi="仿宋" w:eastAsia="仿宋" w:cs="仿宋"/>
          <w:sz w:val="32"/>
          <w:szCs w:val="32"/>
          <w:u w:val="none"/>
          <w:lang w:val="en-US" w:eastAsia="zh-CN"/>
        </w:rPr>
        <w:t>诗臻泊牌清樱透妍紧肤水</w:t>
      </w:r>
      <w:r>
        <w:rPr>
          <w:rFonts w:hint="eastAsia" w:ascii="仿宋" w:hAnsi="仿宋" w:eastAsia="仿宋" w:cs="仿宋"/>
          <w:i w:val="0"/>
          <w:iCs w:val="0"/>
          <w:caps w:val="0"/>
          <w:color w:val="000000"/>
          <w:spacing w:val="0"/>
          <w:kern w:val="0"/>
          <w:sz w:val="32"/>
          <w:szCs w:val="32"/>
          <w:shd w:val="clear" w:fill="FFFFFF"/>
          <w:lang w:val="en-US" w:eastAsia="zh-CN" w:bidi="ar"/>
        </w:rPr>
        <w:t>超过使用期限，限期使用日期：20220918，净含量：120ml/瓶。</w:t>
      </w:r>
      <w:r>
        <w:rPr>
          <w:rFonts w:hint="eastAsia" w:ascii="仿宋" w:hAnsi="仿宋" w:eastAsia="仿宋" w:cs="仿宋"/>
          <w:sz w:val="32"/>
          <w:szCs w:val="32"/>
          <w:u w:val="none"/>
          <w:lang w:val="en-US" w:eastAsia="zh-CN"/>
        </w:rPr>
        <w:t>北戴河新区汇</w:t>
      </w:r>
      <w:r>
        <w:rPr>
          <w:rFonts w:hint="eastAsia" w:ascii="仿宋" w:hAnsi="仿宋" w:eastAsia="仿宋" w:cs="仿宋"/>
          <w:color w:val="000000" w:themeColor="text1"/>
          <w:sz w:val="32"/>
          <w:szCs w:val="32"/>
          <w:u w:val="none"/>
          <w:lang w:val="en-US" w:eastAsia="zh-CN"/>
          <w14:textFill>
            <w14:solidFill>
              <w14:schemeClr w14:val="tx1"/>
            </w14:solidFill>
          </w14:textFill>
        </w:rPr>
        <w:t>颜生活馆涉嫌销售</w:t>
      </w:r>
      <w:r>
        <w:rPr>
          <w:rFonts w:hint="eastAsia" w:ascii="仿宋" w:hAnsi="仿宋" w:eastAsia="仿宋" w:cs="仿宋"/>
          <w:i w:val="0"/>
          <w:iCs w:val="0"/>
          <w:caps w:val="0"/>
          <w:color w:val="000000"/>
          <w:spacing w:val="0"/>
          <w:kern w:val="0"/>
          <w:sz w:val="32"/>
          <w:szCs w:val="32"/>
          <w:shd w:val="clear" w:fill="FFFFFF"/>
          <w:lang w:val="en-US" w:eastAsia="zh-CN" w:bidi="ar"/>
        </w:rPr>
        <w:t>超过使用期限的化妆品行为违反了《化妆品监督管理条例》第三十九条的规定，同时经局长批准对</w:t>
      </w:r>
      <w:r>
        <w:rPr>
          <w:rFonts w:hint="eastAsia" w:ascii="仿宋" w:hAnsi="仿宋" w:eastAsia="仿宋" w:cs="仿宋"/>
          <w:sz w:val="32"/>
          <w:szCs w:val="32"/>
          <w:u w:val="none"/>
          <w:lang w:val="en-US" w:eastAsia="zh-CN"/>
        </w:rPr>
        <w:t>北戴河新区汇</w:t>
      </w:r>
      <w:r>
        <w:rPr>
          <w:rFonts w:hint="eastAsia" w:ascii="仿宋" w:hAnsi="仿宋" w:eastAsia="仿宋" w:cs="仿宋"/>
          <w:color w:val="000000" w:themeColor="text1"/>
          <w:sz w:val="32"/>
          <w:szCs w:val="32"/>
          <w:u w:val="none"/>
          <w:lang w:val="en-US" w:eastAsia="zh-CN"/>
          <w14:textFill>
            <w14:solidFill>
              <w14:schemeClr w14:val="tx1"/>
            </w14:solidFill>
          </w14:textFill>
        </w:rPr>
        <w:t>颜生活馆立案调查。</w:t>
      </w:r>
      <w:r>
        <w:rPr>
          <w:rFonts w:hint="eastAsia" w:ascii="仿宋" w:hAnsi="仿宋" w:eastAsia="仿宋" w:cs="仿宋"/>
          <w:i w:val="0"/>
          <w:iCs w:val="0"/>
          <w:caps w:val="0"/>
          <w:color w:val="000000"/>
          <w:spacing w:val="0"/>
          <w:kern w:val="0"/>
          <w:sz w:val="32"/>
          <w:szCs w:val="32"/>
          <w:shd w:val="clear" w:fill="FFFFFF"/>
          <w:lang w:val="en-US" w:eastAsia="zh-CN" w:bidi="ar"/>
        </w:rPr>
        <w:t>执法人员依法对上述化妆品进行扣押。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经查，上述超过使用期限的化妆品是当事人于2019年9月23日从上海善真化妆品有限公司购进，共购进10瓶，每瓶进价115元；于2021年售出9瓶，每瓶售价230元。至本局执法人员在2022年10月21日检查时，当事人没有及时对上述化妆品进行清理，仍放置在店内柜台销售。当事人建立了销售台账，</w:t>
      </w:r>
      <w:r>
        <w:rPr>
          <w:rFonts w:hint="eastAsia" w:ascii="仿宋" w:hAnsi="仿宋" w:eastAsia="仿宋" w:cs="仿宋"/>
          <w:color w:val="000000" w:themeColor="text1"/>
          <w:sz w:val="32"/>
          <w:szCs w:val="32"/>
          <w:lang w:val="en-US" w:eastAsia="zh-CN"/>
          <w14:textFill>
            <w14:solidFill>
              <w14:schemeClr w14:val="tx1"/>
            </w14:solidFill>
          </w14:textFill>
        </w:rPr>
        <w:t>所售9瓶均在保质期（2022年9月18日）之内，</w:t>
      </w:r>
      <w:r>
        <w:rPr>
          <w:rFonts w:hint="eastAsia" w:ascii="仿宋" w:hAnsi="仿宋" w:eastAsia="仿宋" w:cs="仿宋"/>
          <w:i w:val="0"/>
          <w:iCs w:val="0"/>
          <w:caps w:val="0"/>
          <w:color w:val="000000"/>
          <w:spacing w:val="0"/>
          <w:kern w:val="0"/>
          <w:sz w:val="32"/>
          <w:szCs w:val="32"/>
          <w:shd w:val="clear" w:fill="FFFFFF"/>
          <w:lang w:val="en-US" w:eastAsia="zh-CN" w:bidi="ar"/>
        </w:rPr>
        <w:t>涉案化妆品货值金额以本局查获的过期化妆品计算计230元。剩余化妆品1瓶未售出，故没有违法所得。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上述事实，主要有以下证据证明：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1、当事人《营业执照》复印件、当事人身份证复印件各1份，证明当事人主体资格。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我局执法人员在当事人店中检查时制作的《现场笔录》、《实施行政强制措施决定书》及送达回证、《财物清单》各1份，现场检查及产品信息照片4张，证明本局在当事人经营场所现场查获上述问题产品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3、询问笔录1份，证明当事人销售超过使用期限化妆品的事实。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4、当事人提供的供货商《营业执照》复印件1份、进货票据复印件1份、产品检验报告复印件1份，证明当事人履行了进货查验制度。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2023年2月3日，本局向当事人送达秦市监罚告〔2023〕200-03-1号《行政处罚告知书》，告知当事人拟做出的行政处罚内容、理由、依据，并</w:t>
      </w:r>
      <w:bookmarkStart w:id="0" w:name="_GoBack"/>
      <w:bookmarkEnd w:id="0"/>
      <w:r>
        <w:rPr>
          <w:rFonts w:hint="eastAsia" w:ascii="仿宋" w:hAnsi="仿宋" w:eastAsia="仿宋" w:cs="仿宋"/>
          <w:i w:val="0"/>
          <w:iCs w:val="0"/>
          <w:caps w:val="0"/>
          <w:color w:val="000000"/>
          <w:spacing w:val="0"/>
          <w:kern w:val="0"/>
          <w:sz w:val="32"/>
          <w:szCs w:val="32"/>
          <w:shd w:val="clear" w:fill="FFFFFF"/>
          <w:lang w:val="en-US" w:eastAsia="zh-CN" w:bidi="ar"/>
        </w:rPr>
        <w:t>告知当事人依法享有陈述申辩的权利，当事人在法定期限内未提出陈述、申辩意见。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当事人的上述行为违反了《化妆品监督管理条例》第三十九条“化妆品生产经营者应当依照有关法律、法规的规定和化妆品标签标示的要求贮存、运输化妆品，定期检查并及时处理变质或者超过使用期限的化妆品。”的规定，属于销售超过使用期限化妆品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鉴于当事人在本案调查中能积极配合调查，如实陈述违法事实并主动提供证据材料，参照《河北省市场监督管理行政处罚裁量权适用规则》第十五条第（二）项、第（四）项及《河北省化妆品行政处罚裁量适用情形》从轻情形第五项的规定，本着优化营商环境、扶持市场主体发展和处罚与教育相结合的原则，给予从轻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综上，依据《化妆品监督管理条例》第六十条第（五）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五）化妆品经营者擅自配制化妆品，或者经营变质、超过使用期限的化妆品；”的规定，参照《河北省化妆品行政处罚裁量基准》编码：HEBMPA-C-3-002关于《化妆品监督管理条例》第六十条第（五）项的规定，本局现责令当事人改正上述违法行为，决定处罚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1、没收超过使用期限的化妆品1瓶；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2、罚款10000元。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i w:val="0"/>
          <w:iCs w:val="0"/>
          <w:caps w:val="0"/>
          <w:color w:val="000000"/>
          <w:spacing w:val="0"/>
          <w:kern w:val="0"/>
          <w:sz w:val="32"/>
          <w:szCs w:val="32"/>
          <w:shd w:val="clear" w:fill="FFFFFF"/>
          <w:lang w:val="en-US" w:eastAsia="zh-CN" w:bidi="ar"/>
        </w:rPr>
        <w:t>当事人应当自收到本行政处罚决定书之日起十五日内，将罚没款缴至秦皇岛银行金财支行（账户名称：秦皇岛市财政局）缴纳罚款；到</w:t>
      </w:r>
      <w:r>
        <w:rPr>
          <w:rFonts w:hint="eastAsia" w:ascii="仿宋" w:hAnsi="仿宋" w:eastAsia="仿宋" w:cs="仿宋"/>
          <w:color w:val="000000"/>
          <w:sz w:val="32"/>
          <w:szCs w:val="32"/>
          <w:lang w:val="en-US" w:eastAsia="zh-CN"/>
        </w:rPr>
        <w:t>期不缴纳罚款的，依据《中华人民共和国行政处罚法》第七十二条的规定，本局将每日按罚款数额的百分之三加处罚款，并依法申请人民法院强制执行。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如</w:t>
      </w:r>
      <w:r>
        <w:rPr>
          <w:rFonts w:hint="eastAsia" w:ascii="仿宋" w:hAnsi="仿宋" w:eastAsia="仿宋" w:cs="仿宋"/>
          <w:color w:val="000000"/>
          <w:sz w:val="32"/>
          <w:szCs w:val="32"/>
          <w:lang w:val="en-US" w:eastAsia="zh-CN"/>
        </w:rPr>
        <w:t>当事人</w:t>
      </w:r>
      <w:r>
        <w:rPr>
          <w:rFonts w:hint="eastAsia" w:ascii="仿宋" w:hAnsi="仿宋" w:eastAsia="仿宋" w:cs="仿宋"/>
          <w:color w:val="000000"/>
          <w:sz w:val="32"/>
          <w:szCs w:val="32"/>
        </w:rPr>
        <w:t>不服本行政处罚决定,可在收到本行政处罚决定书之日起六十日内向秦皇岛市人民政府或河北省</w:t>
      </w:r>
      <w:r>
        <w:rPr>
          <w:rFonts w:hint="eastAsia" w:ascii="仿宋" w:hAnsi="仿宋" w:eastAsia="仿宋" w:cs="仿宋"/>
          <w:color w:val="000000"/>
          <w:sz w:val="32"/>
          <w:szCs w:val="32"/>
          <w:lang w:val="en-US" w:eastAsia="zh-CN"/>
        </w:rPr>
        <w:t>药品</w:t>
      </w:r>
      <w:r>
        <w:rPr>
          <w:rFonts w:hint="eastAsia" w:ascii="仿宋" w:hAnsi="仿宋" w:eastAsia="仿宋" w:cs="仿宋"/>
          <w:color w:val="000000"/>
          <w:sz w:val="32"/>
          <w:szCs w:val="32"/>
          <w:lang w:eastAsia="zh-CN"/>
        </w:rPr>
        <w:t>监督管理局</w:t>
      </w:r>
      <w:r>
        <w:rPr>
          <w:rFonts w:hint="eastAsia" w:ascii="仿宋" w:hAnsi="仿宋" w:eastAsia="仿宋" w:cs="仿宋"/>
          <w:color w:val="000000"/>
          <w:sz w:val="32"/>
          <w:szCs w:val="32"/>
        </w:rPr>
        <w:t>申请复议</w:t>
      </w:r>
      <w:r>
        <w:rPr>
          <w:rFonts w:hint="eastAsia" w:ascii="仿宋" w:hAnsi="仿宋" w:eastAsia="仿宋" w:cs="仿宋"/>
          <w:color w:val="000000"/>
          <w:sz w:val="32"/>
          <w:szCs w:val="32"/>
          <w:lang w:eastAsia="zh-CN"/>
        </w:rPr>
        <w:t>；也可以在六个月内依法向</w:t>
      </w:r>
      <w:r>
        <w:rPr>
          <w:rFonts w:hint="eastAsia" w:ascii="仿宋" w:hAnsi="仿宋" w:eastAsia="仿宋" w:cs="仿宋"/>
          <w:color w:val="000000"/>
          <w:sz w:val="32"/>
          <w:szCs w:val="32"/>
          <w:lang w:val="en-US" w:eastAsia="zh-CN"/>
        </w:rPr>
        <w:t>秦皇岛市</w:t>
      </w:r>
      <w:r>
        <w:rPr>
          <w:rFonts w:hint="eastAsia" w:ascii="仿宋" w:hAnsi="仿宋" w:eastAsia="仿宋" w:cs="仿宋"/>
          <w:color w:val="000000"/>
          <w:sz w:val="32"/>
          <w:szCs w:val="32"/>
          <w:lang w:eastAsia="zh-CN"/>
        </w:rPr>
        <w:t>海港区人民法院提起行政诉讼。</w:t>
      </w:r>
      <w:r>
        <w:rPr>
          <w:rFonts w:hint="eastAsia" w:ascii="仿宋" w:hAnsi="仿宋" w:eastAsia="仿宋" w:cs="仿宋"/>
          <w:color w:val="000000"/>
          <w:sz w:val="32"/>
          <w:szCs w:val="32"/>
          <w:lang w:val="en-US" w:eastAsia="zh-CN"/>
        </w:rPr>
        <w:t>申请行政复议或者提起行政诉讼期间，行政处罚不停止执行。</w:t>
      </w:r>
    </w:p>
    <w:p>
      <w:pPr>
        <w:keepNext w:val="0"/>
        <w:keepLines w:val="0"/>
        <w:pageBreakBefore w:val="0"/>
        <w:kinsoku/>
        <w:wordWrap/>
        <w:overflowPunct/>
        <w:topLinePunct w:val="0"/>
        <w:autoSpaceDE/>
        <w:autoSpaceDN/>
        <w:bidi w:val="0"/>
        <w:adjustRightInd w:val="0"/>
        <w:snapToGrid/>
        <w:spacing w:line="240" w:lineRule="auto"/>
        <w:ind w:firstLine="4480" w:firstLineChars="14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秦皇岛市市场监督管理局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bidi w:val="0"/>
        <w:jc w:val="center"/>
        <w:rPr>
          <w:rFonts w:hint="eastAsia"/>
          <w:b/>
          <w:bCs/>
          <w:sz w:val="30"/>
          <w:szCs w:val="30"/>
          <w:lang w:val="en-US" w:eastAsia="zh-CN"/>
        </w:rPr>
      </w:pPr>
      <w:r>
        <w:rPr>
          <w:rFonts w:hint="eastAsia"/>
          <w:b/>
          <w:bCs/>
          <w:sz w:val="30"/>
          <w:szCs w:val="30"/>
          <w:lang w:val="en-US" w:eastAsia="zh-CN"/>
        </w:rPr>
        <w:t>市场监督管理部门将依法向社会公开行政处罚决定信息</w:t>
      </w:r>
    </w:p>
    <w:p>
      <w:pPr>
        <w:bidi w:val="0"/>
        <w:rPr>
          <w:rFonts w:ascii="Times New Roman" w:hAnsi="Times New Roman" w:eastAsia="仿宋_GB2312" w:cs="仿宋"/>
          <w:bCs/>
          <w:color w:val="000000" w:themeColor="text1"/>
          <w:sz w:val="32"/>
          <w:szCs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71" name="直接连接符 17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166028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h0Z9dUAAAAHAQAADwAAAAAAAAABACAAAAAiAAAAZHJzL2Rvd25yZXYueG1s&#10;UEsBAhQAFAAAAAgAh07iQBWMk/T7AQAA+QMAAA4AAAAAAAAAAQAgAAAAJAEAAGRycy9lMm9Eb2Mu&#10;eG1sUEsFBgAAAAAGAAYAWQEAAJEFAAAAAA==&#10;">
                <v:fill on="f" focussize="0,0"/>
                <v:stroke weight="1.25pt" color="#000000" joinstyle="round"/>
                <v:imagedata o:title=""/>
                <o:lock v:ext="edit" aspectratio="f"/>
              </v:line>
            </w:pict>
          </mc:Fallback>
        </mc:AlternateContent>
      </w:r>
    </w:p>
    <w:p>
      <w:pPr>
        <w:wordWrap w:val="0"/>
        <w:spacing w:line="520" w:lineRule="exact"/>
        <w:rPr>
          <w:rFonts w:hint="eastAsia" w:ascii="仿宋" w:hAnsi="仿宋" w:eastAsia="仿宋" w:cs="仿宋"/>
          <w:sz w:val="32"/>
          <w:szCs w:val="32"/>
        </w:rPr>
      </w:pPr>
      <w:r>
        <w:rPr>
          <w:rFonts w:hint="eastAsia" w:ascii="华文仿宋" w:hAnsi="华文仿宋" w:eastAsia="华文仿宋" w:cs="华文仿宋"/>
          <w:bCs/>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v85HXAAAACgEAAA8AAAAAAAAAAQAgAAAAIgAAAGRycy9kb3du&#10;cmV2LnhtbFBLAQIUABQAAAAIAIdO4kADbyNGAAIAAPcDAAAOAAAAAAAAAAEAIAAAACYBAABkcnMv&#10;ZTJvRG9jLnhtbFBLBQYAAAAABgAGAFkBAACYBQAAAAA=&#10;">
                <v:fill on="f" focussize="0,0"/>
                <v:stroke weight="0.737007874015748pt" color="#000000" joinstyle="round" endcap="square"/>
                <v:imagedata o:title=""/>
                <o:lock v:ext="edit" aspectratio="f"/>
              </v:lin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本文书一式</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三</w:t>
      </w:r>
      <w:r>
        <w:rPr>
          <w:rFonts w:hint="eastAsia" w:ascii="华文仿宋" w:hAnsi="华文仿宋" w:eastAsia="华文仿宋" w:cs="华文仿宋"/>
          <w:color w:val="000000" w:themeColor="text1"/>
          <w:sz w:val="32"/>
          <w:szCs w:val="32"/>
          <w14:textFill>
            <w14:solidFill>
              <w14:schemeClr w14:val="tx1"/>
            </w14:solidFill>
          </w14:textFill>
        </w:rPr>
        <w:t>份，</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份送达，</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份归档，</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一份</w:t>
      </w:r>
      <w:r>
        <w:rPr>
          <w:rFonts w:hint="eastAsia" w:ascii="华文仿宋" w:hAnsi="华文仿宋" w:eastAsia="华文仿宋" w:cs="华文仿宋"/>
          <w:color w:val="000000" w:themeColor="text1"/>
          <w:sz w:val="32"/>
          <w:szCs w:val="32"/>
          <w:u w:val="none"/>
          <w:lang w:eastAsia="zh-CN"/>
          <w14:textFill>
            <w14:solidFill>
              <w14:schemeClr w14:val="tx1"/>
            </w14:solidFill>
          </w14:textFill>
        </w:rPr>
        <w:t>存根</w:t>
      </w:r>
      <w:r>
        <w:rPr>
          <w:rFonts w:hint="eastAsia" w:ascii="华文仿宋" w:hAnsi="华文仿宋" w:eastAsia="华文仿宋" w:cs="华文仿宋"/>
          <w:color w:val="000000" w:themeColor="text1"/>
          <w:sz w:val="32"/>
          <w:szCs w:val="32"/>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D500C"/>
    <w:rsid w:val="02C75AB7"/>
    <w:rsid w:val="0C403566"/>
    <w:rsid w:val="0DD70924"/>
    <w:rsid w:val="13F02300"/>
    <w:rsid w:val="14E25C01"/>
    <w:rsid w:val="16024461"/>
    <w:rsid w:val="198864C4"/>
    <w:rsid w:val="2D4A7115"/>
    <w:rsid w:val="2FE305DF"/>
    <w:rsid w:val="32333A1C"/>
    <w:rsid w:val="3E836F9F"/>
    <w:rsid w:val="4B020639"/>
    <w:rsid w:val="568D500C"/>
    <w:rsid w:val="6666770B"/>
    <w:rsid w:val="69F40EC8"/>
    <w:rsid w:val="74DD64E2"/>
    <w:rsid w:val="7912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2022-12-05T13:46:00Z</dcterms:created>
  <dc:creator>My</dc:creator>
  <cp:lastModifiedBy>天若百尺高</cp:lastModifiedBy>
  <dcterms:modified xsi:type="dcterms:W3CDTF">2023-03-10T00:27:45Z</dcterms:modified>
  <dc:title>秭归县市场监督管理局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4471B86BA8C746DDAF423250D87EE964</vt:lpwstr>
  </property>
</Properties>
</file>