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eastAsia" w:ascii="黑体" w:hAnsi="黑体" w:eastAsia="黑体" w:cs="黑体"/>
          <w:i w:val="0"/>
          <w:iCs w:val="0"/>
          <w:caps w:val="0"/>
          <w:color w:val="000000"/>
          <w:spacing w:val="0"/>
          <w:sz w:val="36"/>
          <w:szCs w:val="36"/>
        </w:rPr>
      </w:pPr>
      <w:r>
        <w:rPr>
          <w:rFonts w:hint="eastAsia" w:ascii="黑体" w:hAnsi="黑体" w:eastAsia="黑体" w:cs="黑体"/>
          <w:i w:val="0"/>
          <w:iCs w:val="0"/>
          <w:caps w:val="0"/>
          <w:color w:val="000000"/>
          <w:spacing w:val="0"/>
          <w:kern w:val="0"/>
          <w:sz w:val="36"/>
          <w:szCs w:val="36"/>
          <w:shd w:val="clear" w:fill="FFFFFF"/>
          <w:lang w:val="en-US" w:eastAsia="zh-CN" w:bidi="ar"/>
        </w:rPr>
        <w:t>秦皇岛市市场监督管理局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default" w:ascii="monospace" w:hAnsi="monospace" w:eastAsia="monospace" w:cs="monospace"/>
          <w:i w:val="0"/>
          <w:iCs w:val="0"/>
          <w:caps w:val="0"/>
          <w:color w:val="000000"/>
          <w:spacing w:val="0"/>
          <w:sz w:val="54"/>
          <w:szCs w:val="54"/>
        </w:rPr>
      </w:pPr>
      <w:r>
        <w:rPr>
          <w:rFonts w:hint="eastAsia" w:ascii="黑体" w:hAnsi="黑体" w:eastAsia="黑体" w:cs="黑体"/>
          <w:i w:val="0"/>
          <w:iCs w:val="0"/>
          <w:caps w:val="0"/>
          <w:color w:val="000000"/>
          <w:spacing w:val="0"/>
          <w:kern w:val="0"/>
          <w:sz w:val="36"/>
          <w:szCs w:val="36"/>
          <w:shd w:val="clear" w:fill="FFFFFF"/>
          <w:lang w:val="en-US" w:eastAsia="zh-CN" w:bidi="ar"/>
        </w:rPr>
        <w:t>行政处罚决定书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秦市监处罚[2022]200-18号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当事人：</w:t>
      </w:r>
      <w:r>
        <w:rPr>
          <w:rFonts w:hint="eastAsia" w:ascii="仿宋" w:hAnsi="仿宋" w:eastAsia="仿宋" w:cs="仿宋"/>
          <w:sz w:val="32"/>
          <w:szCs w:val="32"/>
          <w:u w:val="none"/>
          <w:lang w:val="en-US" w:eastAsia="zh-CN"/>
        </w:rPr>
        <w:t>北戴河新区仁济诊所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主体资格证照名称：营业执照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ascii="仿宋" w:hAnsi="仿宋" w:eastAsia="仿宋" w:cs="仿宋"/>
          <w:sz w:val="32"/>
          <w:szCs w:val="32"/>
          <w:u w:val="none"/>
          <w:lang w:val="en-US" w:eastAsia="zh-CN"/>
        </w:rPr>
      </w:pPr>
      <w:r>
        <w:rPr>
          <w:rFonts w:hint="eastAsia" w:ascii="仿宋" w:hAnsi="仿宋" w:eastAsia="仿宋" w:cs="仿宋"/>
          <w:i w:val="0"/>
          <w:iCs w:val="0"/>
          <w:caps w:val="0"/>
          <w:color w:val="000000"/>
          <w:spacing w:val="0"/>
          <w:kern w:val="0"/>
          <w:sz w:val="32"/>
          <w:szCs w:val="32"/>
          <w:shd w:val="clear" w:fill="FFFFFF"/>
          <w:lang w:val="en-US" w:eastAsia="zh-CN" w:bidi="ar"/>
        </w:rPr>
        <w:t>统一社会信用代码（注册号）：</w:t>
      </w:r>
      <w:r>
        <w:rPr>
          <w:rFonts w:hint="eastAsia" w:ascii="仿宋" w:hAnsi="仿宋" w:eastAsia="仿宋" w:cs="仿宋"/>
          <w:sz w:val="32"/>
          <w:szCs w:val="32"/>
          <w:u w:val="none"/>
          <w:lang w:val="en-US" w:eastAsia="zh-CN"/>
        </w:rPr>
        <w:t>92130392MA08QFN89A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kern w:val="0"/>
          <w:sz w:val="32"/>
          <w:szCs w:val="32"/>
          <w:shd w:val="clear" w:fill="FFFFFF"/>
          <w:lang w:val="en-US" w:eastAsia="zh-CN" w:bidi="ar"/>
        </w:rPr>
        <w:t>住所（住址）：</w:t>
      </w:r>
      <w:r>
        <w:rPr>
          <w:rFonts w:hint="eastAsia" w:ascii="仿宋" w:hAnsi="仿宋" w:eastAsia="仿宋" w:cs="仿宋"/>
          <w:sz w:val="32"/>
          <w:szCs w:val="32"/>
          <w:u w:val="none"/>
          <w:lang w:val="en-US" w:eastAsia="zh-CN"/>
        </w:rPr>
        <w:t>秦皇岛北戴河新区薛家营村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ascii="仿宋" w:hAnsi="仿宋" w:eastAsia="仿宋" w:cs="仿宋"/>
          <w:i w:val="0"/>
          <w:iCs w:val="0"/>
          <w:caps w:val="0"/>
          <w:color w:val="000000"/>
          <w:spacing w:val="0"/>
          <w:sz w:val="32"/>
          <w:szCs w:val="32"/>
          <w:lang w:val="en-US"/>
        </w:rPr>
      </w:pPr>
      <w:r>
        <w:rPr>
          <w:rFonts w:hint="eastAsia" w:ascii="仿宋" w:hAnsi="仿宋" w:eastAsia="仿宋" w:cs="仿宋"/>
          <w:i w:val="0"/>
          <w:iCs w:val="0"/>
          <w:caps w:val="0"/>
          <w:color w:val="000000"/>
          <w:spacing w:val="0"/>
          <w:kern w:val="0"/>
          <w:sz w:val="32"/>
          <w:szCs w:val="32"/>
          <w:shd w:val="clear" w:fill="FFFFFF"/>
          <w:lang w:val="en-US" w:eastAsia="zh-CN" w:bidi="ar"/>
        </w:rPr>
        <w:t>经营者：陆小玲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2022年4月11日秦皇岛市市场监督管理局执法人员对北戴河新区仁济诊所进行监督检查，现场随机抽查了标示为</w:t>
      </w:r>
      <w:r>
        <w:rPr>
          <w:rFonts w:hint="eastAsia" w:ascii="仿宋" w:hAnsi="仿宋" w:eastAsia="仿宋" w:cs="仿宋"/>
          <w:i w:val="0"/>
          <w:iCs w:val="0"/>
          <w:caps w:val="0"/>
          <w:snapToGrid w:val="0"/>
          <w:color w:val="000000"/>
          <w:spacing w:val="0"/>
          <w:kern w:val="0"/>
          <w:sz w:val="32"/>
          <w:szCs w:val="32"/>
          <w:shd w:val="clear" w:fill="FFFFFF"/>
          <w:lang w:val="en-US" w:eastAsia="zh-CN" w:bidi="ar"/>
        </w:rPr>
        <w:t>深圳迈瑞生物医疗电子股份有限公司</w:t>
      </w:r>
      <w:r>
        <w:rPr>
          <w:rFonts w:hint="eastAsia" w:ascii="仿宋" w:hAnsi="仿宋" w:eastAsia="仿宋" w:cs="仿宋"/>
          <w:i w:val="0"/>
          <w:iCs w:val="0"/>
          <w:caps w:val="0"/>
          <w:color w:val="000000"/>
          <w:spacing w:val="0"/>
          <w:kern w:val="0"/>
          <w:sz w:val="32"/>
          <w:szCs w:val="32"/>
          <w:shd w:val="clear" w:fill="FFFFFF"/>
          <w:lang w:val="en-US" w:eastAsia="zh-CN" w:bidi="ar"/>
        </w:rPr>
        <w:t>制造的，注册证编号为</w:t>
      </w:r>
      <w:r>
        <w:rPr>
          <w:rFonts w:hint="eastAsia" w:ascii="仿宋" w:hAnsi="仿宋" w:eastAsia="仿宋" w:cs="仿宋"/>
          <w:sz w:val="32"/>
          <w:szCs w:val="32"/>
          <w:u w:val="none"/>
          <w:lang w:val="en-US" w:eastAsia="zh-CN"/>
        </w:rPr>
        <w:t>粤械注准20172400118</w:t>
      </w:r>
      <w:r>
        <w:rPr>
          <w:rFonts w:hint="eastAsia" w:ascii="仿宋" w:hAnsi="仿宋" w:eastAsia="仿宋" w:cs="仿宋"/>
          <w:i w:val="0"/>
          <w:iCs w:val="0"/>
          <w:caps w:val="0"/>
          <w:color w:val="000000"/>
          <w:spacing w:val="0"/>
          <w:kern w:val="0"/>
          <w:sz w:val="32"/>
          <w:szCs w:val="32"/>
          <w:shd w:val="clear" w:fill="FFFFFF"/>
          <w:lang w:val="en-US" w:eastAsia="zh-CN" w:bidi="ar"/>
        </w:rPr>
        <w:t>的全自动生化分析仪，该诊所不能出示医疗器械使用前质量检查制度。我局执法人员当场制作了《现场检查笔录》，下达了《责令改正通知书》（秦市监责改〔2022〕200-3-5号）、《当场行政处罚决定书》（秦市监当罚[2022]200-03-2号</w:t>
      </w:r>
      <w:r>
        <w:rPr>
          <w:rFonts w:hint="eastAsia" w:ascii="仿宋" w:hAnsi="仿宋" w:eastAsia="仿宋" w:cs="仿宋"/>
          <w:i w:val="0"/>
          <w:iCs w:val="0"/>
          <w:caps w:val="0"/>
          <w:snapToGrid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给予北戴河新区仁济诊所警告的行政处罚。2022年4月21日，我局执法人员再次对该诊所进行检查，现场检查标示为</w:t>
      </w:r>
      <w:r>
        <w:rPr>
          <w:rFonts w:hint="eastAsia" w:ascii="仿宋" w:hAnsi="仿宋" w:eastAsia="仿宋" w:cs="仿宋"/>
          <w:i w:val="0"/>
          <w:iCs w:val="0"/>
          <w:caps w:val="0"/>
          <w:snapToGrid w:val="0"/>
          <w:color w:val="000000"/>
          <w:spacing w:val="0"/>
          <w:kern w:val="0"/>
          <w:sz w:val="32"/>
          <w:szCs w:val="32"/>
          <w:shd w:val="clear" w:fill="FFFFFF"/>
          <w:lang w:val="en-US" w:eastAsia="zh-CN" w:bidi="ar"/>
        </w:rPr>
        <w:t>深圳迈瑞生物医疗电子股份有限公司</w:t>
      </w:r>
      <w:r>
        <w:rPr>
          <w:rFonts w:hint="eastAsia" w:ascii="仿宋" w:hAnsi="仿宋" w:eastAsia="仿宋" w:cs="仿宋"/>
          <w:i w:val="0"/>
          <w:iCs w:val="0"/>
          <w:caps w:val="0"/>
          <w:color w:val="000000"/>
          <w:spacing w:val="0"/>
          <w:kern w:val="0"/>
          <w:sz w:val="32"/>
          <w:szCs w:val="32"/>
          <w:shd w:val="clear" w:fill="FFFFFF"/>
          <w:lang w:val="en-US" w:eastAsia="zh-CN" w:bidi="ar"/>
        </w:rPr>
        <w:t>制造的，注册证编号为</w:t>
      </w:r>
      <w:r>
        <w:rPr>
          <w:rFonts w:hint="eastAsia" w:ascii="仿宋" w:hAnsi="仿宋" w:eastAsia="仿宋" w:cs="仿宋"/>
          <w:sz w:val="32"/>
          <w:szCs w:val="32"/>
          <w:u w:val="none"/>
          <w:lang w:val="en-US" w:eastAsia="zh-CN"/>
        </w:rPr>
        <w:t>粤械注准20172400118</w:t>
      </w:r>
      <w:r>
        <w:rPr>
          <w:rFonts w:hint="eastAsia" w:ascii="仿宋" w:hAnsi="仿宋" w:eastAsia="仿宋" w:cs="仿宋"/>
          <w:i w:val="0"/>
          <w:iCs w:val="0"/>
          <w:caps w:val="0"/>
          <w:color w:val="000000"/>
          <w:spacing w:val="0"/>
          <w:kern w:val="0"/>
          <w:sz w:val="32"/>
          <w:szCs w:val="32"/>
          <w:shd w:val="clear" w:fill="FFFFFF"/>
          <w:lang w:val="en-US" w:eastAsia="zh-CN" w:bidi="ar"/>
        </w:rPr>
        <w:t>的全自动生化分析仪，该诊所仍不能出示医疗器械使用前质量检查制度。北戴河新区仁济诊所涉嫌未按规定建立、执行医疗器械使用前质量检查制度的行为违反了《医疗器械使用质量监督管理办法》第十三条第一款的规定，同日经局长批准，对北戴河新区仁济诊所进行立案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经查，2022年4月11日我局执法人员发现北戴河新区仁济诊所未按规定建立、执行医疗器械使用前质量检查制度，我局责令当事人2022年4月20日前改正，必须按规定建立、执行医疗器械使用前质量检查制度，并当场给予警告的行政处罚。2022年4月21日我局执法人员再次对该诊所医疗器械使用情况进行检查，当事人仍然未按规定建立、执行医疗器械使用前质量检查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上述事实，主要有以下证据证明: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1、《营业执照》、《医疗机构执业许可证》，证明该诊所主体资质合法；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2、经营者陆玉玲、执业医师白静的身份证复印件、执业医师证复印件，证明被调查人身份合法和从业资格；</w:t>
      </w:r>
    </w:p>
    <w:p>
      <w:pPr>
        <w:keepNext w:val="0"/>
        <w:keepLines w:val="0"/>
        <w:pageBreakBefore w:val="0"/>
        <w:numPr>
          <w:ilvl w:val="0"/>
          <w:numId w:val="0"/>
        </w:numPr>
        <w:kinsoku/>
        <w:wordWrap/>
        <w:overflowPunct/>
        <w:topLinePunct w:val="0"/>
        <w:autoSpaceDE/>
        <w:autoSpaceDN/>
        <w:bidi w:val="0"/>
        <w:snapToGrid/>
        <w:spacing w:line="54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当事人</w:t>
      </w:r>
      <w:r>
        <w:rPr>
          <w:rFonts w:hint="eastAsia" w:ascii="仿宋" w:hAnsi="仿宋" w:eastAsia="仿宋" w:cs="仿宋"/>
          <w:color w:val="000000" w:themeColor="text1"/>
          <w:sz w:val="32"/>
          <w:szCs w:val="32"/>
          <w:lang w:val="en-US" w:eastAsia="zh-CN"/>
          <w14:textFill>
            <w14:solidFill>
              <w14:schemeClr w14:val="tx1"/>
            </w14:solidFill>
          </w14:textFill>
        </w:rPr>
        <w:t>诊所</w:t>
      </w:r>
      <w:r>
        <w:rPr>
          <w:rFonts w:hint="eastAsia" w:ascii="仿宋" w:hAnsi="仿宋" w:eastAsia="仿宋" w:cs="仿宋"/>
          <w:color w:val="000000" w:themeColor="text1"/>
          <w:sz w:val="32"/>
          <w:szCs w:val="32"/>
          <w14:textFill>
            <w14:solidFill>
              <w14:schemeClr w14:val="tx1"/>
            </w14:solidFill>
          </w14:textFill>
        </w:rPr>
        <w:t>照片</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张，</w:t>
      </w:r>
      <w:r>
        <w:rPr>
          <w:rFonts w:hint="eastAsia" w:ascii="仿宋" w:hAnsi="仿宋" w:eastAsia="仿宋" w:cs="仿宋"/>
          <w:color w:val="000000" w:themeColor="text1"/>
          <w:sz w:val="32"/>
          <w:szCs w:val="32"/>
          <w:lang w:val="en-US" w:eastAsia="zh-CN"/>
          <w14:textFill>
            <w14:solidFill>
              <w14:schemeClr w14:val="tx1"/>
            </w14:solidFill>
          </w14:textFill>
        </w:rPr>
        <w:t>检验报告单1张，医疗器械购销合同复印件2张，医疗器械随货同行单2张、全自动生化仪背标照片1张，处方笺复印件1张，证</w:t>
      </w:r>
      <w:r>
        <w:rPr>
          <w:rFonts w:hint="eastAsia" w:ascii="仿宋" w:hAnsi="仿宋" w:eastAsia="仿宋" w:cs="仿宋"/>
          <w:color w:val="000000" w:themeColor="text1"/>
          <w:sz w:val="32"/>
          <w:szCs w:val="32"/>
          <w14:textFill>
            <w14:solidFill>
              <w14:schemeClr w14:val="tx1"/>
            </w14:solidFill>
          </w14:textFill>
        </w:rPr>
        <w:t>明当事人从事</w:t>
      </w:r>
      <w:r>
        <w:rPr>
          <w:rFonts w:hint="eastAsia" w:ascii="仿宋" w:hAnsi="仿宋" w:eastAsia="仿宋" w:cs="仿宋"/>
          <w:color w:val="000000" w:themeColor="text1"/>
          <w:sz w:val="32"/>
          <w:szCs w:val="32"/>
          <w:lang w:val="en-US" w:eastAsia="zh-CN"/>
          <w14:textFill>
            <w14:solidFill>
              <w14:schemeClr w14:val="tx1"/>
            </w14:solidFill>
          </w14:textFill>
        </w:rPr>
        <w:t>诊所</w:t>
      </w:r>
      <w:r>
        <w:rPr>
          <w:rFonts w:hint="eastAsia" w:ascii="仿宋" w:hAnsi="仿宋" w:eastAsia="仿宋" w:cs="仿宋"/>
          <w:color w:val="000000" w:themeColor="text1"/>
          <w:sz w:val="32"/>
          <w:szCs w:val="32"/>
          <w14:textFill>
            <w14:solidFill>
              <w14:schemeClr w14:val="tx1"/>
            </w14:solidFill>
          </w14:textFill>
        </w:rPr>
        <w:t>经营</w:t>
      </w:r>
      <w:r>
        <w:rPr>
          <w:rFonts w:hint="eastAsia" w:ascii="仿宋" w:hAnsi="仿宋" w:eastAsia="仿宋" w:cs="仿宋"/>
          <w:color w:val="000000" w:themeColor="text1"/>
          <w:sz w:val="32"/>
          <w:szCs w:val="32"/>
          <w:lang w:val="en-US" w:eastAsia="zh-CN"/>
          <w14:textFill>
            <w14:solidFill>
              <w14:schemeClr w14:val="tx1"/>
            </w14:solidFill>
          </w14:textFill>
        </w:rPr>
        <w:t>和使用医疗器械</w:t>
      </w:r>
      <w:r>
        <w:rPr>
          <w:rFonts w:hint="eastAsia" w:ascii="仿宋" w:hAnsi="仿宋" w:eastAsia="仿宋" w:cs="仿宋"/>
          <w:color w:val="000000" w:themeColor="text1"/>
          <w:sz w:val="32"/>
          <w:szCs w:val="32"/>
          <w14:textFill>
            <w14:solidFill>
              <w14:schemeClr w14:val="tx1"/>
            </w14:solidFill>
          </w14:textFill>
        </w:rPr>
        <w:t>的事实情况</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4、第一次现场检查笔录、责令改正通知书、当场行政处罚决定书，证明当事人未按规定建立、执行医疗器械使用前质量检查制度和我局责令其改正并给予警告的事实；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5、第二次现场检查笔录，对经营者陆小玲、执业医师白静的询问笔录，证明当事人未按规定建立、执行医疗器械使用前质量检查制度且经我局责令改正后逾期未改正的违法事实。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27</w:t>
      </w:r>
      <w:r>
        <w:rPr>
          <w:rFonts w:hint="eastAsia" w:ascii="仿宋_GB2312" w:hAnsi="仿宋" w:eastAsia="仿宋_GB2312" w:cs="仿宋"/>
          <w:sz w:val="32"/>
          <w:szCs w:val="32"/>
        </w:rPr>
        <w:t>日</w:t>
      </w:r>
      <w:r>
        <w:rPr>
          <w:rFonts w:hint="eastAsia" w:ascii="仿宋" w:hAnsi="仿宋" w:eastAsia="仿宋" w:cs="仿宋"/>
          <w:i w:val="0"/>
          <w:iCs w:val="0"/>
          <w:caps w:val="0"/>
          <w:color w:val="000000"/>
          <w:spacing w:val="0"/>
          <w:kern w:val="0"/>
          <w:sz w:val="32"/>
          <w:szCs w:val="32"/>
          <w:shd w:val="clear" w:fill="FFFFFF"/>
          <w:lang w:val="en-US" w:eastAsia="zh-CN" w:bidi="ar"/>
        </w:rPr>
        <w:t>，本局向当事人送达了《行政处罚告知书》（秦市监罚告[2022]200-3-5号），告知当事人拟作出的行政处罚内容以及事实、理由、依据，并告知当事人依法享有陈述、申辩和要求听证的权利。当事人未在规定时间内提出陈述和申辩，并未要求举行听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本局认为，《医疗器械使用质量监督管理办法》第十三条第一款规定“医疗器械使用单位应当建立医疗器械使用前质量检查制度。在使用医疗器械前，应当按照产品说明书的有关要求进行检查。”。当事人上述行为违反了该规定，构成未按规定建立、执行医疗器械使用前质量检查制度的违法行为，依据《医疗器械使用质量监督管理办法》第三十条第五项“医疗器械使用单位有下列情形之一的，由县级以上食品药品监督管理部门责令限期改正，给予警告；拒不改正的，处1万元以下罚款：（一）……；（五）未按规定建立、执行医疗器械使用前质量检查制度的；”的规定，责令改正未改正，应当给予1万元以下罚款的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综合考虑违法行为的事实、性质、情节、社会危害程度以及当事人主观过错等因素，没有从轻或者减轻处罚的情形。应遵照《河北省市场监督管理行政处罚裁量权适用规则》第八条第（三）项“实施行政处罚，应当明确区分减轻行政处罚、从轻行政处罚、一般行政处罚和从重行政处罚的不同情况，准确行使行政处罚载量权。（一）……（三）一般行政处罚是指在依法可以选择的行政处罚种类和行政处罚幅度内，适用一般的行政处罚种类或者一般的行政处罚幅度。其中罚款的数额应当在从最低限到最高限幅度中30%以上部分至70%以下部分确定。”的规定按照一般行政处罚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综上，当事人上述行为违反了《医疗器械使用质量监督管理办法》第十三条第一款，依据</w:t>
      </w:r>
      <w:r>
        <w:rPr>
          <w:rFonts w:hint="eastAsia" w:ascii="仿宋" w:hAnsi="仿宋" w:eastAsia="仿宋" w:cs="仿宋"/>
          <w:color w:val="000000" w:themeColor="text1"/>
          <w:sz w:val="32"/>
          <w:szCs w:val="32"/>
          <w:lang w:eastAsia="zh-CN"/>
          <w14:textFill>
            <w14:solidFill>
              <w14:schemeClr w14:val="tx1"/>
            </w14:solidFill>
          </w14:textFill>
        </w:rPr>
        <w:t>《中华人民共和国行政处罚法》第二十八条</w:t>
      </w:r>
      <w:r>
        <w:rPr>
          <w:rFonts w:hint="eastAsia" w:ascii="仿宋" w:hAnsi="仿宋" w:eastAsia="仿宋" w:cs="仿宋"/>
          <w:color w:val="000000" w:themeColor="text1"/>
          <w:sz w:val="32"/>
          <w:szCs w:val="32"/>
          <w:lang w:val="en-US" w:eastAsia="zh-CN"/>
          <w14:textFill>
            <w14:solidFill>
              <w14:schemeClr w14:val="tx1"/>
            </w14:solidFill>
          </w14:textFill>
        </w:rPr>
        <w:t>和</w:t>
      </w:r>
      <w:r>
        <w:rPr>
          <w:rFonts w:hint="eastAsia" w:ascii="仿宋" w:hAnsi="仿宋" w:eastAsia="仿宋" w:cs="仿宋"/>
          <w:i w:val="0"/>
          <w:iCs w:val="0"/>
          <w:caps w:val="0"/>
          <w:color w:val="000000"/>
          <w:spacing w:val="0"/>
          <w:kern w:val="0"/>
          <w:sz w:val="32"/>
          <w:szCs w:val="32"/>
          <w:shd w:val="clear" w:fill="FFFFFF"/>
          <w:lang w:val="en-US" w:eastAsia="zh-CN" w:bidi="ar"/>
        </w:rPr>
        <w:t>《医疗器械使用质量监督管理办法》第三十条第五项的规定，</w:t>
      </w:r>
      <w:r>
        <w:rPr>
          <w:rFonts w:hint="eastAsia" w:ascii="仿宋" w:hAnsi="仿宋" w:eastAsia="仿宋" w:cs="仿宋"/>
          <w:spacing w:val="-5"/>
          <w:sz w:val="32"/>
          <w:szCs w:val="32"/>
        </w:rPr>
        <w:t>现责令当事人</w:t>
      </w:r>
      <w:r>
        <w:rPr>
          <w:rFonts w:hint="eastAsia" w:ascii="仿宋" w:hAnsi="仿宋" w:eastAsia="仿宋" w:cs="仿宋"/>
          <w:spacing w:val="-1"/>
          <w:sz w:val="32"/>
          <w:szCs w:val="32"/>
        </w:rPr>
        <w:t>改正上述违法行为</w:t>
      </w:r>
      <w:r>
        <w:rPr>
          <w:rFonts w:hint="eastAsia" w:ascii="仿宋" w:hAnsi="仿宋" w:eastAsia="仿宋" w:cs="仿宋"/>
          <w:spacing w:val="-1"/>
          <w:sz w:val="32"/>
          <w:szCs w:val="32"/>
          <w:lang w:val="en-US" w:eastAsia="zh-CN"/>
        </w:rPr>
        <w:t>并</w:t>
      </w:r>
      <w:r>
        <w:rPr>
          <w:rFonts w:hint="eastAsia" w:ascii="仿宋" w:hAnsi="仿宋" w:eastAsia="仿宋" w:cs="仿宋"/>
          <w:i w:val="0"/>
          <w:iCs w:val="0"/>
          <w:caps w:val="0"/>
          <w:color w:val="000000"/>
          <w:spacing w:val="0"/>
          <w:kern w:val="0"/>
          <w:sz w:val="32"/>
          <w:szCs w:val="32"/>
          <w:shd w:val="clear" w:fill="FFFFFF"/>
          <w:lang w:val="en-US" w:eastAsia="zh-CN" w:bidi="ar"/>
        </w:rPr>
        <w:t>决定处罚如下：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罚款4000元。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i w:val="0"/>
          <w:iCs w:val="0"/>
          <w:caps w:val="0"/>
          <w:color w:val="000000"/>
          <w:spacing w:val="0"/>
          <w:kern w:val="0"/>
          <w:sz w:val="32"/>
          <w:szCs w:val="32"/>
          <w:shd w:val="clear" w:fill="FFFFFF"/>
          <w:lang w:val="en-US" w:eastAsia="zh-CN" w:bidi="ar"/>
        </w:rPr>
        <w:t>当事人应当自收到本行政处罚决定书之日起十五日内，将罚没款缴至秦皇岛银行金财支行（账户名称：秦皇岛市财政局）缴纳罚款；到</w:t>
      </w:r>
      <w:r>
        <w:rPr>
          <w:rFonts w:hint="eastAsia" w:ascii="仿宋" w:hAnsi="仿宋" w:eastAsia="仿宋" w:cs="仿宋"/>
          <w:color w:val="000000"/>
          <w:sz w:val="32"/>
          <w:szCs w:val="32"/>
          <w:lang w:val="en-US" w:eastAsia="zh-CN"/>
        </w:rPr>
        <w:t>期不缴纳罚款的，依据《中华人民共和国行政处罚法》第七十二条的规定，本局将每日按罚款数额的百分之三加处罚款，并依法申请人民法院强制执行。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0" w:firstLineChars="200"/>
        <w:jc w:val="left"/>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如</w:t>
      </w:r>
      <w:r>
        <w:rPr>
          <w:rFonts w:hint="eastAsia" w:ascii="仿宋" w:hAnsi="仿宋" w:eastAsia="仿宋" w:cs="仿宋"/>
          <w:color w:val="000000"/>
          <w:sz w:val="32"/>
          <w:szCs w:val="32"/>
          <w:lang w:val="en-US" w:eastAsia="zh-CN"/>
        </w:rPr>
        <w:t>当事人</w:t>
      </w:r>
      <w:r>
        <w:rPr>
          <w:rFonts w:hint="eastAsia" w:ascii="仿宋" w:hAnsi="仿宋" w:eastAsia="仿宋" w:cs="仿宋"/>
          <w:color w:val="000000"/>
          <w:sz w:val="32"/>
          <w:szCs w:val="32"/>
        </w:rPr>
        <w:t>不服本行政处罚决定,可在收到本行政处罚决定书之日起六十日内向秦皇岛市人民政府或河北省</w:t>
      </w:r>
      <w:r>
        <w:rPr>
          <w:rFonts w:hint="eastAsia" w:ascii="仿宋" w:hAnsi="仿宋" w:eastAsia="仿宋" w:cs="仿宋"/>
          <w:color w:val="000000"/>
          <w:sz w:val="32"/>
          <w:szCs w:val="32"/>
          <w:lang w:val="en-US" w:eastAsia="zh-CN"/>
        </w:rPr>
        <w:t>药品</w:t>
      </w:r>
      <w:r>
        <w:rPr>
          <w:rFonts w:hint="eastAsia" w:ascii="仿宋" w:hAnsi="仿宋" w:eastAsia="仿宋" w:cs="仿宋"/>
          <w:color w:val="000000"/>
          <w:sz w:val="32"/>
          <w:szCs w:val="32"/>
          <w:lang w:eastAsia="zh-CN"/>
        </w:rPr>
        <w:t>监督管理局</w:t>
      </w:r>
      <w:r>
        <w:rPr>
          <w:rFonts w:hint="eastAsia" w:ascii="仿宋" w:hAnsi="仿宋" w:eastAsia="仿宋" w:cs="仿宋"/>
          <w:color w:val="000000"/>
          <w:sz w:val="32"/>
          <w:szCs w:val="32"/>
        </w:rPr>
        <w:t>申请复议</w:t>
      </w:r>
      <w:r>
        <w:rPr>
          <w:rFonts w:hint="eastAsia" w:ascii="仿宋" w:hAnsi="仿宋" w:eastAsia="仿宋" w:cs="仿宋"/>
          <w:color w:val="000000"/>
          <w:sz w:val="32"/>
          <w:szCs w:val="32"/>
          <w:lang w:eastAsia="zh-CN"/>
        </w:rPr>
        <w:t>；也可以在六个月内依法向</w:t>
      </w:r>
      <w:r>
        <w:rPr>
          <w:rFonts w:hint="eastAsia" w:ascii="仿宋" w:hAnsi="仿宋" w:eastAsia="仿宋" w:cs="仿宋"/>
          <w:color w:val="000000"/>
          <w:sz w:val="32"/>
          <w:szCs w:val="32"/>
          <w:lang w:val="en-US" w:eastAsia="zh-CN"/>
        </w:rPr>
        <w:t>秦皇岛市</w:t>
      </w:r>
      <w:r>
        <w:rPr>
          <w:rFonts w:hint="eastAsia" w:ascii="仿宋" w:hAnsi="仿宋" w:eastAsia="仿宋" w:cs="仿宋"/>
          <w:color w:val="000000"/>
          <w:sz w:val="32"/>
          <w:szCs w:val="32"/>
          <w:lang w:eastAsia="zh-CN"/>
        </w:rPr>
        <w:t>海港区人民法院提起行政诉讼。</w:t>
      </w:r>
      <w:r>
        <w:rPr>
          <w:rFonts w:hint="eastAsia" w:ascii="仿宋" w:hAnsi="仿宋" w:eastAsia="仿宋" w:cs="仿宋"/>
          <w:color w:val="000000"/>
          <w:sz w:val="32"/>
          <w:szCs w:val="32"/>
          <w:lang w:val="en-US" w:eastAsia="zh-CN"/>
        </w:rPr>
        <w:t>申请行政复议或者提起行政诉讼期间，行政处罚不停止执行。</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textAlignment w:val="baseline"/>
        <w:rPr>
          <w:rFonts w:hint="eastAsia" w:ascii="仿宋" w:hAnsi="仿宋" w:eastAsia="仿宋" w:cs="仿宋"/>
          <w:color w:val="000000"/>
          <w:sz w:val="32"/>
          <w:szCs w:val="32"/>
          <w:lang w:val="en-US" w:eastAsia="zh-CN"/>
        </w:rPr>
      </w:pPr>
    </w:p>
    <w:p>
      <w:pPr>
        <w:keepNext w:val="0"/>
        <w:keepLines w:val="0"/>
        <w:pageBreakBefore w:val="0"/>
        <w:kinsoku/>
        <w:wordWrap/>
        <w:overflowPunct/>
        <w:topLinePunct w:val="0"/>
        <w:autoSpaceDE/>
        <w:autoSpaceDN/>
        <w:bidi w:val="0"/>
        <w:adjustRightInd w:val="0"/>
        <w:snapToGrid/>
        <w:spacing w:line="240" w:lineRule="auto"/>
        <w:ind w:firstLine="4480" w:firstLineChars="14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秦皇岛市市场监督管理局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eastAsia" w:ascii="仿宋" w:hAnsi="仿宋" w:eastAsia="仿宋" w:cs="仿宋"/>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日</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bookmarkStart w:id="0" w:name="_GoBack"/>
      <w:bookmarkEnd w:id="0"/>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b/>
          <w:bCs/>
          <w:sz w:val="30"/>
          <w:szCs w:val="30"/>
          <w:lang w:val="en-US" w:eastAsia="zh-CN"/>
        </w:rPr>
      </w:pPr>
      <w:r>
        <w:rPr>
          <w:rFonts w:hint="eastAsia"/>
          <w:b/>
          <w:bCs/>
          <w:sz w:val="30"/>
          <w:szCs w:val="30"/>
          <w:lang w:val="en-US" w:eastAsia="zh-CN"/>
        </w:rPr>
        <w:t>市场监督管理部门将依法向社会公开行政处罚决定信息</w:t>
      </w:r>
    </w:p>
    <w:p>
      <w:pPr>
        <w:bidi w:val="0"/>
        <w:rPr>
          <w:rFonts w:ascii="Times New Roman" w:hAnsi="Times New Roman" w:eastAsia="仿宋_GB2312" w:cs="仿宋"/>
          <w:bCs/>
          <w:color w:val="000000" w:themeColor="text1"/>
          <w:sz w:val="32"/>
          <w:szCs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71" name="直接连接符 17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1661312;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h0Z9dUAAAAHAQAADwAAAAAAAAABACAAAAAiAAAAZHJzL2Rvd25yZXYueG1s&#10;UEsBAhQAFAAAAAgAh07iQBWMk/T7AQAA+QMAAA4AAAAAAAAAAQAgAAAAJAEAAGRycy9lMm9Eb2Mu&#10;eG1sUEsFBgAAAAAGAAYAWQEAAJEFAAAAAA==&#10;">
                <v:fill on="f" focussize="0,0"/>
                <v:stroke weight="1.25pt" color="#000000" joinstyle="round"/>
                <v:imagedata o:title=""/>
                <o:lock v:ext="edit" aspectratio="f"/>
              </v:line>
            </w:pict>
          </mc:Fallback>
        </mc:AlternateContent>
      </w:r>
    </w:p>
    <w:p>
      <w:pPr>
        <w:wordWrap w:val="0"/>
        <w:spacing w:line="520" w:lineRule="exact"/>
        <w:rPr>
          <w:rFonts w:hint="eastAsia"/>
          <w:lang w:val="en-US" w:eastAsia="zh-CN"/>
        </w:rPr>
      </w:pPr>
      <w:r>
        <w:rPr>
          <w:rFonts w:hint="eastAsia" w:ascii="华文仿宋" w:hAnsi="华文仿宋" w:eastAsia="华文仿宋" w:cs="华文仿宋"/>
          <w:bCs/>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74" name="直接连接符 174"/>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vv85HXAAAACgEAAA8AAAAAAAAAAQAgAAAAIgAAAGRycy9kb3du&#10;cmV2LnhtbFBLAQIUABQAAAAIAIdO4kADbyNGAAIAAPcDAAAOAAAAAAAAAAEAIAAAACYBAABkcnMv&#10;ZTJvRG9jLnhtbFBLBQYAAAAABgAGAFkBAACYBQAAAAA=&#10;">
                <v:fill on="f" focussize="0,0"/>
                <v:stroke weight="0.737007874015748pt" color="#000000" joinstyle="round" endcap="square"/>
                <v:imagedata o:title=""/>
                <o:lock v:ext="edit" aspectratio="f"/>
              </v:line>
            </w:pict>
          </mc:Fallback>
        </mc:AlternateContent>
      </w:r>
      <w:r>
        <w:rPr>
          <w:rFonts w:hint="eastAsia" w:ascii="华文仿宋" w:hAnsi="华文仿宋" w:eastAsia="华文仿宋" w:cs="华文仿宋"/>
          <w:color w:val="000000" w:themeColor="text1"/>
          <w:sz w:val="32"/>
          <w:szCs w:val="32"/>
          <w14:textFill>
            <w14:solidFill>
              <w14:schemeClr w14:val="tx1"/>
            </w14:solidFill>
          </w14:textFill>
        </w:rPr>
        <w:t>本文书一式</w:t>
      </w:r>
      <w:r>
        <w:rPr>
          <w:rFonts w:hint="eastAsia" w:ascii="华文仿宋" w:hAnsi="华文仿宋" w:eastAsia="华文仿宋" w:cs="华文仿宋"/>
          <w:color w:val="000000" w:themeColor="text1"/>
          <w:sz w:val="32"/>
          <w:szCs w:val="32"/>
          <w:u w:val="single"/>
          <w:lang w:eastAsia="zh-CN"/>
          <w14:textFill>
            <w14:solidFill>
              <w14:schemeClr w14:val="tx1"/>
            </w14:solidFill>
          </w14:textFill>
        </w:rPr>
        <w:t>三</w:t>
      </w:r>
      <w:r>
        <w:rPr>
          <w:rFonts w:hint="eastAsia" w:ascii="华文仿宋" w:hAnsi="华文仿宋" w:eastAsia="华文仿宋" w:cs="华文仿宋"/>
          <w:color w:val="000000" w:themeColor="text1"/>
          <w:sz w:val="32"/>
          <w:szCs w:val="32"/>
          <w14:textFill>
            <w14:solidFill>
              <w14:schemeClr w14:val="tx1"/>
            </w14:solidFill>
          </w14:textFill>
        </w:rPr>
        <w:t>份，</w:t>
      </w:r>
      <w:r>
        <w:rPr>
          <w:rFonts w:hint="eastAsia" w:ascii="华文仿宋" w:hAnsi="华文仿宋" w:eastAsia="华文仿宋" w:cs="华文仿宋"/>
          <w:color w:val="000000" w:themeColor="text1"/>
          <w:sz w:val="32"/>
          <w:szCs w:val="32"/>
          <w:u w:val="single"/>
          <w:lang w:eastAsia="zh-CN"/>
          <w14:textFill>
            <w14:solidFill>
              <w14:schemeClr w14:val="tx1"/>
            </w14:solidFill>
          </w14:textFill>
        </w:rPr>
        <w:t>一</w:t>
      </w:r>
      <w:r>
        <w:rPr>
          <w:rFonts w:hint="eastAsia" w:ascii="华文仿宋" w:hAnsi="华文仿宋" w:eastAsia="华文仿宋" w:cs="华文仿宋"/>
          <w:color w:val="000000" w:themeColor="text1"/>
          <w:sz w:val="32"/>
          <w:szCs w:val="32"/>
          <w14:textFill>
            <w14:solidFill>
              <w14:schemeClr w14:val="tx1"/>
            </w14:solidFill>
          </w14:textFill>
        </w:rPr>
        <w:t>份送达，</w:t>
      </w:r>
      <w:r>
        <w:rPr>
          <w:rFonts w:hint="eastAsia" w:ascii="华文仿宋" w:hAnsi="华文仿宋" w:eastAsia="华文仿宋" w:cs="华文仿宋"/>
          <w:color w:val="000000" w:themeColor="text1"/>
          <w:sz w:val="32"/>
          <w:szCs w:val="32"/>
          <w:u w:val="single"/>
          <w14:textFill>
            <w14:solidFill>
              <w14:schemeClr w14:val="tx1"/>
            </w14:solidFill>
          </w14:textFill>
        </w:rPr>
        <w:t>一</w:t>
      </w:r>
      <w:r>
        <w:rPr>
          <w:rFonts w:hint="eastAsia" w:ascii="华文仿宋" w:hAnsi="华文仿宋" w:eastAsia="华文仿宋" w:cs="华文仿宋"/>
          <w:color w:val="000000" w:themeColor="text1"/>
          <w:sz w:val="32"/>
          <w:szCs w:val="32"/>
          <w14:textFill>
            <w14:solidFill>
              <w14:schemeClr w14:val="tx1"/>
            </w14:solidFill>
          </w14:textFill>
        </w:rPr>
        <w:t>份归档，</w:t>
      </w:r>
      <w:r>
        <w:rPr>
          <w:rFonts w:hint="eastAsia" w:ascii="华文仿宋" w:hAnsi="华文仿宋" w:eastAsia="华文仿宋" w:cs="华文仿宋"/>
          <w:color w:val="000000" w:themeColor="text1"/>
          <w:sz w:val="32"/>
          <w:szCs w:val="32"/>
          <w:u w:val="single"/>
          <w:lang w:eastAsia="zh-CN"/>
          <w14:textFill>
            <w14:solidFill>
              <w14:schemeClr w14:val="tx1"/>
            </w14:solidFill>
          </w14:textFill>
        </w:rPr>
        <w:t>一份</w:t>
      </w:r>
      <w:r>
        <w:rPr>
          <w:rFonts w:hint="eastAsia" w:ascii="华文仿宋" w:hAnsi="华文仿宋" w:eastAsia="华文仿宋" w:cs="华文仿宋"/>
          <w:color w:val="000000" w:themeColor="text1"/>
          <w:sz w:val="32"/>
          <w:szCs w:val="32"/>
          <w:u w:val="none"/>
          <w:lang w:eastAsia="zh-CN"/>
          <w14:textFill>
            <w14:solidFill>
              <w14:schemeClr w14:val="tx1"/>
            </w14:solidFill>
          </w14:textFill>
        </w:rPr>
        <w:t>存根</w:t>
      </w:r>
      <w:r>
        <w:rPr>
          <w:rFonts w:hint="eastAsia" w:ascii="华文仿宋" w:hAnsi="华文仿宋" w:eastAsia="华文仿宋" w:cs="华文仿宋"/>
          <w:color w:val="000000" w:themeColor="text1"/>
          <w:sz w:val="32"/>
          <w:szCs w:val="32"/>
          <w14:textFill>
            <w14:solidFill>
              <w14:schemeClr w14:val="tx1"/>
            </w14:solidFill>
          </w14:textFill>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13FB5"/>
    <w:rsid w:val="038E01A5"/>
    <w:rsid w:val="03DA2D2D"/>
    <w:rsid w:val="0A0B6A7B"/>
    <w:rsid w:val="0A0C504D"/>
    <w:rsid w:val="0ACB52F5"/>
    <w:rsid w:val="151F5167"/>
    <w:rsid w:val="2E507F56"/>
    <w:rsid w:val="330439FA"/>
    <w:rsid w:val="36290343"/>
    <w:rsid w:val="36D35BE8"/>
    <w:rsid w:val="3E756CF4"/>
    <w:rsid w:val="44613FB5"/>
    <w:rsid w:val="49A64287"/>
    <w:rsid w:val="5C6A6DBF"/>
    <w:rsid w:val="61D40209"/>
    <w:rsid w:val="679F6D1D"/>
    <w:rsid w:val="77851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2022-04-28T09:28:00Z</dcterms:created>
  <dc:creator>My</dc:creator>
  <cp:lastModifiedBy>天若百尺高</cp:lastModifiedBy>
  <cp:lastPrinted>2022-05-30T01:29:55Z</cp:lastPrinted>
  <dcterms:modified xsi:type="dcterms:W3CDTF">2022-05-30T01:30:54Z</dcterms:modified>
  <dc:title>秦皇岛市市场监督管理局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2E6C103D7E6C46139DD9653513C687D0</vt:lpwstr>
  </property>
</Properties>
</file>